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3E4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pPr>
    </w:p>
    <w:p w14:paraId="08BA29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cs="Times New Roman"/>
          <w:i w:val="0"/>
          <w:caps w:val="0"/>
          <w:color w:val="000000"/>
          <w:spacing w:val="0"/>
          <w:sz w:val="27"/>
          <w:szCs w:val="27"/>
        </w:rPr>
      </w:pPr>
      <w:r>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白山</w:t>
      </w:r>
      <w:r>
        <w:rPr>
          <w:rFonts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市物业服务企业信用信息</w:t>
      </w:r>
      <w:r>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管理办法</w:t>
      </w:r>
    </w:p>
    <w:p w14:paraId="363A94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210"/>
        <w:textAlignment w:val="auto"/>
        <w:rPr>
          <w:rFonts w:hint="default" w:ascii="Times New Roman" w:hAnsi="Times New Roman" w:cs="Times New Roman"/>
          <w:i w:val="0"/>
          <w:caps w:val="0"/>
          <w:color w:val="000000"/>
          <w:spacing w:val="0"/>
          <w:sz w:val="27"/>
          <w:szCs w:val="27"/>
        </w:rPr>
      </w:pPr>
      <w:r>
        <w:rPr>
          <w:rFonts w:ascii="Nimbus Roman No9 L" w:hAnsi="Nimbus Roman No9 L" w:eastAsia="Nimbus Roman No9 L" w:cs="Nimbus Roman No9 L"/>
          <w:i w:val="0"/>
          <w:caps w:val="0"/>
          <w:color w:val="000000"/>
          <w:spacing w:val="0"/>
          <w:sz w:val="27"/>
          <w:szCs w:val="27"/>
          <w:shd w:val="clear" w:color="auto" w:fill="FFFFFF"/>
          <w:lang w:val="en-US"/>
        </w:rPr>
        <w:t> </w:t>
      </w:r>
    </w:p>
    <w:p w14:paraId="4DE110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cs="Times New Roman"/>
          <w:i w:val="0"/>
          <w:caps w:val="0"/>
          <w:color w:val="000000"/>
          <w:spacing w:val="0"/>
          <w:sz w:val="27"/>
          <w:szCs w:val="27"/>
        </w:rPr>
      </w:pPr>
      <w:r>
        <w:rPr>
          <w:rFonts w:ascii="黑体" w:hAnsi="宋体" w:eastAsia="黑体" w:cs="黑体"/>
          <w:i w:val="0"/>
          <w:caps w:val="0"/>
          <w:color w:val="000000"/>
          <w:spacing w:val="0"/>
          <w:kern w:val="0"/>
          <w:sz w:val="32"/>
          <w:szCs w:val="32"/>
          <w:shd w:val="clear" w:color="auto" w:fill="FFFFFF"/>
          <w:lang w:val="en-US" w:eastAsia="zh-CN" w:bidi="ar"/>
        </w:rPr>
        <w:t>第一章</w:t>
      </w:r>
      <w:r>
        <w:rPr>
          <w:rFonts w:hint="eastAsia" w:ascii="黑体" w:hAnsi="宋体" w:eastAsia="黑体" w:cs="黑体"/>
          <w:i w:val="0"/>
          <w:caps w:val="0"/>
          <w:color w:val="000000"/>
          <w:spacing w:val="0"/>
          <w:kern w:val="0"/>
          <w:sz w:val="32"/>
          <w:szCs w:val="32"/>
          <w:shd w:val="clear" w:color="auto" w:fill="FFFFFF"/>
          <w:lang w:val="en-US" w:eastAsia="zh-CN" w:bidi="ar"/>
        </w:rPr>
        <w:t>  总则</w:t>
      </w:r>
    </w:p>
    <w:p w14:paraId="7ED03D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eastAsia" w:ascii="宋体" w:hAnsi="宋体" w:eastAsia="宋体" w:cs="宋体"/>
          <w:i w:val="0"/>
          <w:caps w:val="0"/>
          <w:color w:val="000000"/>
          <w:spacing w:val="0"/>
          <w:kern w:val="0"/>
          <w:sz w:val="32"/>
          <w:szCs w:val="32"/>
          <w:shd w:val="clear" w:color="auto" w:fill="FFFFFF"/>
          <w:lang w:val="en-US" w:eastAsia="zh-CN" w:bidi="ar"/>
        </w:rPr>
        <w:t> </w:t>
      </w:r>
    </w:p>
    <w:p w14:paraId="28AA59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ascii="仿宋" w:hAnsi="仿宋" w:eastAsia="仿宋" w:cs="仿宋"/>
          <w:b/>
          <w:i w:val="0"/>
          <w:caps w:val="0"/>
          <w:color w:val="000000"/>
          <w:spacing w:val="0"/>
          <w:kern w:val="0"/>
          <w:sz w:val="32"/>
          <w:szCs w:val="32"/>
          <w:shd w:val="clear" w:color="auto" w:fill="FFFFFF"/>
          <w:lang w:val="en-US" w:eastAsia="zh-CN" w:bidi="ar"/>
        </w:rPr>
        <w:t>第一条</w:t>
      </w:r>
      <w:r>
        <w:rPr>
          <w:rFonts w:hint="eastAsia" w:ascii="仿宋" w:hAnsi="仿宋" w:eastAsia="仿宋" w:cs="仿宋"/>
          <w:i w:val="0"/>
          <w:caps w:val="0"/>
          <w:color w:val="000000"/>
          <w:spacing w:val="0"/>
          <w:kern w:val="0"/>
          <w:sz w:val="32"/>
          <w:szCs w:val="32"/>
          <w:shd w:val="clear" w:color="auto" w:fill="FFFFFF"/>
          <w:lang w:val="en-US" w:eastAsia="zh-CN" w:bidi="ar"/>
        </w:rPr>
        <w:t>  为推进物业服务行业信用体系建设，促进物业服务</w:t>
      </w:r>
      <w:r>
        <w:rPr>
          <w:rFonts w:ascii="仿宋_GB2312" w:hAnsi="Times New Roman" w:eastAsia="仿宋_GB2312" w:cs="仿宋_GB2312"/>
          <w:i w:val="0"/>
          <w:caps w:val="0"/>
          <w:color w:val="000000"/>
          <w:spacing w:val="0"/>
          <w:kern w:val="0"/>
          <w:sz w:val="32"/>
          <w:szCs w:val="32"/>
          <w:shd w:val="clear" w:color="auto" w:fill="FFFFFF"/>
          <w:lang w:val="en-US" w:eastAsia="zh-CN" w:bidi="ar"/>
        </w:rPr>
        <w:t>企业诚信自律，强化信用约束，构建以信用管理为核心的新型市场监管体制，促进物业服务行业健康发展，加强事中事后监管。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根据《吉林省物业管理条例》《吉林省物业服务企业信用管理办法》（吉建联发〔2022〕43号）、《吉林省住宅小区物业服务质量评价办法》（吉建联发〔2022〕42号）等法律、法规、规章和相关政策规定，结合我市实际，制定本办法。</w:t>
      </w:r>
    </w:p>
    <w:p w14:paraId="32865F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第二条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在各县(市、区)区域内从事物业服务活动的物业服务企业，按照本办法规定参加信用档案与评级管理。</w:t>
      </w:r>
    </w:p>
    <w:p w14:paraId="261972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第三条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各县(市、区)物业行政主管部门负责物业服务企业信用等级评定工作的组织实施，建立物业服务企业信用信息档案，加强信用等级评定成果运</w:t>
      </w:r>
      <w:bookmarkStart w:id="0" w:name="_GoBack"/>
      <w:bookmarkEnd w:id="0"/>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用，开展“守信激励，失信惩戒”相关工作。</w:t>
      </w:r>
    </w:p>
    <w:p w14:paraId="6B8305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各县(市、区)物业行政主管部门负责本行政区域内物业服务企业信用信息归集、认定和上报工作。指导街道办事处（乡镇人民政府）、社区居（村）委会、业主委员会、物业管理委员会对物业管理项目服务情况进行评价。</w:t>
      </w:r>
    </w:p>
    <w:p w14:paraId="50C498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街道办事处、乡镇人民政府负责本辖区内物业服务企业信用信息的采集、整理和报送工作。</w:t>
      </w:r>
    </w:p>
    <w:p w14:paraId="276935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社区居（村）委会配合街道办事处、乡镇人民政府完成辖区内物业服务企业信用信息管理的相关工作。受理业主委员会、物业管理委员会对本项目的物业服务企业日常服务情况的评价。</w:t>
      </w:r>
    </w:p>
    <w:p w14:paraId="198C9E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第四条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物业服务企业信用等级评定坚持依法、公开、公平、公正的原则，保守国家秘密、商业秘密和个人隐私。各县(市、区)物业行政主管部门每年组织对物业服务企业信用信息情况进行一次评定。</w:t>
      </w:r>
    </w:p>
    <w:p w14:paraId="612C1F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p>
    <w:p w14:paraId="15F58D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cs="Times New Roman"/>
          <w:i w:val="0"/>
          <w:caps w:val="0"/>
          <w:color w:val="000000"/>
          <w:spacing w:val="0"/>
          <w:sz w:val="27"/>
          <w:szCs w:val="27"/>
        </w:rPr>
      </w:pPr>
      <w:r>
        <w:rPr>
          <w:rFonts w:hint="eastAsia" w:ascii="黑体" w:hAnsi="宋体" w:eastAsia="黑体" w:cs="黑体"/>
          <w:i w:val="0"/>
          <w:caps w:val="0"/>
          <w:color w:val="000000"/>
          <w:spacing w:val="0"/>
          <w:kern w:val="0"/>
          <w:sz w:val="32"/>
          <w:szCs w:val="32"/>
          <w:shd w:val="clear" w:color="auto" w:fill="FFFFFF"/>
          <w:lang w:val="en-US" w:eastAsia="zh-CN" w:bidi="ar"/>
        </w:rPr>
        <w:t>第二章  信用信息的采集、归集和建档</w:t>
      </w:r>
    </w:p>
    <w:p w14:paraId="371884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p>
    <w:p w14:paraId="057772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 第五条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信用信息主要包括基础信息、优良信息和不良信息三类。</w:t>
      </w:r>
    </w:p>
    <w:p w14:paraId="518C3D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ascii="楷体_GB2312" w:hAnsi="Times New Roman" w:eastAsia="楷体_GB2312" w:cs="楷体_GB2312"/>
          <w:i w:val="0"/>
          <w:caps w:val="0"/>
          <w:color w:val="000000"/>
          <w:spacing w:val="0"/>
          <w:kern w:val="0"/>
          <w:sz w:val="32"/>
          <w:szCs w:val="32"/>
          <w:shd w:val="clear" w:color="auto" w:fill="FFFFFF"/>
          <w:lang w:val="en-US" w:eastAsia="zh-CN" w:bidi="ar"/>
        </w:rPr>
        <w:t>（一）基础信息</w:t>
      </w:r>
    </w:p>
    <w:p w14:paraId="07E949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1.物业服务企业注册信息：企业名称、统一社会信用代码（营业执照、组织机构代码、税务登记号）、注册地、企业法定代表人、联系方式（电子信箱、通讯地址、联系电话和联系人）等。</w:t>
      </w:r>
    </w:p>
    <w:p w14:paraId="4CA05E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2.物业服务企业信息：企业组织架构和管理人员基本情况等。</w:t>
      </w:r>
    </w:p>
    <w:p w14:paraId="26A34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hint="default" w:ascii="Times New Roman" w:hAnsi="Times New Roman" w:eastAsia="宋体" w:cs="Times New Roman"/>
          <w:i w:val="0"/>
          <w:caps w:val="0"/>
          <w:color w:val="000000"/>
          <w:spacing w:val="0"/>
          <w:kern w:val="0"/>
          <w:sz w:val="27"/>
          <w:szCs w:val="27"/>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3.物业服务项目信息：物业服务项目名称、类型、地址、建筑面积、物业项目负责人等。</w:t>
      </w:r>
    </w:p>
    <w:p w14:paraId="0CEC0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default" w:ascii="楷体_GB2312" w:hAnsi="Times New Roman" w:eastAsia="楷体_GB2312" w:cs="楷体_GB2312"/>
          <w:i w:val="0"/>
          <w:caps w:val="0"/>
          <w:color w:val="000000"/>
          <w:spacing w:val="0"/>
          <w:kern w:val="0"/>
          <w:sz w:val="32"/>
          <w:szCs w:val="32"/>
          <w:shd w:val="clear" w:color="auto" w:fill="FFFFFF"/>
          <w:lang w:val="en-US" w:eastAsia="zh-CN" w:bidi="ar"/>
        </w:rPr>
        <w:t>  （二）优良信息</w:t>
      </w:r>
    </w:p>
    <w:p w14:paraId="7DE3F2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物业服务企业遵纪守法，诚信经营，办理项目备案并接受行业主管部门日常监管，获得各级党委、政府、主管部门、行业协会和群团组织的表彰等信息。主要包括：</w:t>
      </w:r>
    </w:p>
    <w:p w14:paraId="4DB333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1.各级党委、政府的表彰；</w:t>
      </w:r>
    </w:p>
    <w:p w14:paraId="60CBB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2.物业主管部门和物业管理协会的表彰；</w:t>
      </w:r>
    </w:p>
    <w:p w14:paraId="58EBB6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3.其它行业管理部门、行业协会和群团组织的表彰；</w:t>
      </w:r>
    </w:p>
    <w:p w14:paraId="77F189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4.业主满意度高的；</w:t>
      </w:r>
    </w:p>
    <w:p w14:paraId="693BD2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5.模范履行物业行业协会会员义务的；</w:t>
      </w:r>
    </w:p>
    <w:p w14:paraId="41BEEB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6.其他优良信息。</w:t>
      </w:r>
    </w:p>
    <w:p w14:paraId="2D8C1A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default" w:ascii="楷体_GB2312" w:hAnsi="Times New Roman" w:eastAsia="楷体_GB2312" w:cs="楷体_GB2312"/>
          <w:i w:val="0"/>
          <w:caps w:val="0"/>
          <w:color w:val="000000"/>
          <w:spacing w:val="0"/>
          <w:kern w:val="0"/>
          <w:sz w:val="32"/>
          <w:szCs w:val="32"/>
          <w:shd w:val="clear" w:color="auto" w:fill="FFFFFF"/>
          <w:lang w:val="en-US" w:eastAsia="zh-CN" w:bidi="ar"/>
        </w:rPr>
        <w:t>（三）不良信息</w:t>
      </w:r>
    </w:p>
    <w:p w14:paraId="3B9423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hint="default" w:ascii="Times New Roman" w:hAnsi="Times New Roman" w:eastAsia="宋体" w:cs="Times New Roman"/>
          <w:i w:val="0"/>
          <w:caps w:val="0"/>
          <w:color w:val="000000"/>
          <w:spacing w:val="0"/>
          <w:kern w:val="0"/>
          <w:sz w:val="27"/>
          <w:szCs w:val="27"/>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物业服务企业在从事物业服务活动中的不良信息主要包括：</w:t>
      </w:r>
    </w:p>
    <w:p w14:paraId="3B56CC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1.人民法院、仲裁机构生效的判决书或裁决书，确认物业服务企业因过错承担责任的；</w:t>
      </w:r>
    </w:p>
    <w:p w14:paraId="36866F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2.物业行政主管部门或相关部门的行政处罚决定；</w:t>
      </w:r>
    </w:p>
    <w:p w14:paraId="2169C4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3.各级物业行政主管部门、街道办事处（乡镇人民政府）日常监管检查中查处的物业服务企业违法违规行为；</w:t>
      </w:r>
    </w:p>
    <w:p w14:paraId="0F0351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4.经物业管理协会认定，存在破坏物业行业市场秩序和违反行业自律准则的行为；</w:t>
      </w:r>
    </w:p>
    <w:p w14:paraId="17824E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5.经查实属物业服务企业服务问题且在规定期限内未妥善解决的投诉举报、媒体曝光等；</w:t>
      </w:r>
    </w:p>
    <w:p w14:paraId="5A1446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6.因物业服务企业过错造成的安全生产事故、群体性事件、重大舆情等；</w:t>
      </w:r>
    </w:p>
    <w:p w14:paraId="7C8657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7.街道办事处（乡镇人民政府）、社区居（村）委会组织的业主满意度调查，业主评价过低的；</w:t>
      </w:r>
    </w:p>
    <w:p w14:paraId="429673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8.其他违法违规行为。</w:t>
      </w:r>
    </w:p>
    <w:p w14:paraId="4E2EB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 第六条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信用信息归集渠道主要包括物业服务企业自行填报信息、各级物业主管部门、街道办事处（乡镇人民政府）日常监管信息、行业协会提供的自律信息、相关部门产生的信息等。</w:t>
      </w:r>
    </w:p>
    <w:p w14:paraId="54175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第七条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信用信息的归集应当遵守下列原则：</w:t>
      </w:r>
    </w:p>
    <w:p w14:paraId="58365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（一）物业服务企业应如实、及时填报基础信息，并对信息的真实性、有效性、合法性负责；</w:t>
      </w:r>
    </w:p>
    <w:p w14:paraId="3E4ECC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（二）其他信用信息归集应当客观、公正、严谨、及时，注重保护个人隐私。</w:t>
      </w:r>
    </w:p>
    <w:p w14:paraId="378D90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 第八条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基础信息录入。由物业服务企业向各县(市、区)物业行政主管部门申报录入。基础信息实行动态管理，有关信息发生变更或企业接管新的物业管理项目后，物业服务企业应当于30日内向各县(市、区)物业行政主管部门申报变更信息，并向辖区物业行政主管部门办理备案，经核实后录入归档。</w:t>
      </w:r>
    </w:p>
    <w:p w14:paraId="14861D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新设立的物业服务企业，应当自领取营业执照之日起30日内，向各县(市、区)物业主管部门申报信用信息备案，录入企业的基础信息等有关信用信息。</w:t>
      </w:r>
    </w:p>
    <w:p w14:paraId="626979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default" w:ascii="Times New Roman" w:hAnsi="Times New Roman" w:eastAsia="宋体" w:cs="Times New Roman"/>
          <w:b/>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  第九条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优良信息录入。由物业服务企业提交相应材料，经各县(市、区)物业行政主管部门核查后，录入信用信息管理系统。</w:t>
      </w:r>
    </w:p>
    <w:p w14:paraId="77EEE1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第十条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不良信息录入。由各县(市、区)物业行政主管部门获取，或由各县(市、区)物业行政主管部门、街道办事处（乡镇人民政府）归集并申报的各类不良信息，经市物业行政主管部门与市物业管理协会共同确认后，录入信用信息管理系统。</w:t>
      </w:r>
    </w:p>
    <w:p w14:paraId="50612D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第十一条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信用信息录入归档后，形成信用档案，任何单位和个人未经法定程序，不得擅自修改、增减、删除。</w:t>
      </w:r>
    </w:p>
    <w:p w14:paraId="0413F8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黑体" w:hAnsi="宋体" w:eastAsia="黑体" w:cs="黑体"/>
          <w:i w:val="0"/>
          <w:caps w:val="0"/>
          <w:color w:val="000000"/>
          <w:spacing w:val="0"/>
          <w:kern w:val="0"/>
          <w:sz w:val="32"/>
          <w:szCs w:val="32"/>
          <w:shd w:val="clear" w:color="auto" w:fill="FFFFFF"/>
          <w:lang w:val="en-US" w:eastAsia="zh-CN" w:bidi="ar"/>
        </w:rPr>
      </w:pPr>
    </w:p>
    <w:p w14:paraId="1D7A2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cs="Times New Roman"/>
          <w:i w:val="0"/>
          <w:caps w:val="0"/>
          <w:color w:val="000000"/>
          <w:spacing w:val="0"/>
          <w:sz w:val="27"/>
          <w:szCs w:val="27"/>
        </w:rPr>
      </w:pPr>
      <w:r>
        <w:rPr>
          <w:rFonts w:hint="eastAsia" w:ascii="黑体" w:hAnsi="宋体" w:eastAsia="黑体" w:cs="黑体"/>
          <w:i w:val="0"/>
          <w:caps w:val="0"/>
          <w:color w:val="000000"/>
          <w:spacing w:val="0"/>
          <w:kern w:val="0"/>
          <w:sz w:val="32"/>
          <w:szCs w:val="32"/>
          <w:shd w:val="clear" w:color="auto" w:fill="FFFFFF"/>
          <w:lang w:val="en-US" w:eastAsia="zh-CN" w:bidi="ar"/>
        </w:rPr>
        <w:t>第三章  信用评级和适用周期</w:t>
      </w:r>
    </w:p>
    <w:p w14:paraId="565514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p>
    <w:p w14:paraId="1C76C9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第十二条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物业服务企业信用评级结果分为AAA级、AA级、A级、D级。具体标准如下：</w:t>
      </w:r>
    </w:p>
    <w:p w14:paraId="723427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信用分值在85分（含）以上的，信用等级为：AAA级；</w:t>
      </w:r>
    </w:p>
    <w:p w14:paraId="39D1A2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信用分值在70分（含）至85分的，信用等级为：AA级；</w:t>
      </w:r>
    </w:p>
    <w:p w14:paraId="24D11E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信用分值在55分（含）至70分的，信用等级为：A级；</w:t>
      </w:r>
    </w:p>
    <w:p w14:paraId="18BBA6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信用分值在55分以下的、列入黑名单的，信用等级评定为D级。</w:t>
      </w:r>
    </w:p>
    <w:p w14:paraId="7E769B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基础信息分值为60分，企业既无优良信息也无不良信息或暂未承接物业服务项目的，企业只得基础分，信用等级为A级。</w:t>
      </w:r>
    </w:p>
    <w:p w14:paraId="33FF61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第十三条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物业服务企业信用得分=基础信息分值+优良信息分值-不良信息分值。具体分值参照《白山市物业服务企业信用评分标准》（附件），各县(市、区)物业行政主管部门根据国家政策导向、行业发展需要等，可合理调整《白山市物业服务企业信用评分标准》中具体评价内容、评价依据、分值比例和标准等事项。</w:t>
      </w:r>
    </w:p>
    <w:p w14:paraId="2753E9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第十四条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信用评级按照属地监管及时归集，企业信息自动申报，年底统一累计汇总，系统评定生成等级等步骤进行。</w:t>
      </w:r>
    </w:p>
    <w:p w14:paraId="1C1196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default" w:ascii="楷体_GB2312" w:hAnsi="Times New Roman" w:eastAsia="楷体_GB2312" w:cs="楷体_GB2312"/>
          <w:i w:val="0"/>
          <w:caps w:val="0"/>
          <w:color w:val="000000"/>
          <w:spacing w:val="0"/>
          <w:kern w:val="0"/>
          <w:sz w:val="32"/>
          <w:szCs w:val="32"/>
          <w:shd w:val="clear" w:color="auto" w:fill="FFFFFF"/>
          <w:lang w:val="en-US" w:eastAsia="zh-CN" w:bidi="ar"/>
        </w:rPr>
        <w:t>（一）属地监管及时归集。</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以属地化管理为主，各县(市、区)物业行政主管部门、属地街道办事处（乡镇人民政府）对辖区内物业项目每年进行的各类环境整治、安全整治、冬季清雪等行业监管检查工作中形成的检查结果通报，各县(市、区)街道(乡镇）受理的典型物业管理信访案件的处理结果等，按照不良信息分类后及时归集整理，并上报各县(市、区)物业行政主管部门，录入信用信息管理系统。</w:t>
      </w:r>
    </w:p>
    <w:p w14:paraId="2A8CE1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default" w:ascii="楷体_GB2312" w:hAnsi="Times New Roman" w:eastAsia="楷体_GB2312" w:cs="楷体_GB2312"/>
          <w:i w:val="0"/>
          <w:caps w:val="0"/>
          <w:color w:val="000000"/>
          <w:spacing w:val="0"/>
          <w:kern w:val="0"/>
          <w:sz w:val="32"/>
          <w:szCs w:val="32"/>
          <w:shd w:val="clear" w:color="auto" w:fill="FFFFFF"/>
          <w:lang w:val="en-US" w:eastAsia="zh-CN" w:bidi="ar"/>
        </w:rPr>
        <w:t>（二）企业信息自行申报。</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每年1月份，各县(市、区)物业服务企业对照《白山市物业服务企业信用评分标准》进行自评，对企业在上一年度取得的各类荣誉、行业奖励等优良信息进行申报，经各县(市、区)物业行政主管部门确认后录入信用信息管理系统。</w:t>
      </w:r>
    </w:p>
    <w:p w14:paraId="70823E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default" w:ascii="楷体_GB2312" w:hAnsi="Times New Roman" w:eastAsia="楷体_GB2312" w:cs="楷体_GB2312"/>
          <w:i w:val="0"/>
          <w:caps w:val="0"/>
          <w:color w:val="000000"/>
          <w:spacing w:val="0"/>
          <w:kern w:val="0"/>
          <w:sz w:val="32"/>
          <w:szCs w:val="32"/>
          <w:shd w:val="clear" w:color="auto" w:fill="FFFFFF"/>
          <w:lang w:val="en-US" w:eastAsia="zh-CN" w:bidi="ar"/>
        </w:rPr>
        <w:t>（三）年底统一累计汇总。</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每年年底到第二年年初，各县(市、区)物业行政主管部门对属地归集和企业申报的各类信息依据《白山市物业服务企业信用评分标准》进行评定打分，并对评定结果进行汇总。</w:t>
      </w:r>
    </w:p>
    <w:p w14:paraId="3E3DF6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default" w:ascii="楷体_GB2312" w:hAnsi="Times New Roman" w:eastAsia="楷体_GB2312" w:cs="楷体_GB2312"/>
          <w:i w:val="0"/>
          <w:caps w:val="0"/>
          <w:color w:val="000000"/>
          <w:spacing w:val="0"/>
          <w:kern w:val="0"/>
          <w:sz w:val="32"/>
          <w:szCs w:val="32"/>
          <w:shd w:val="clear" w:color="auto" w:fill="FFFFFF"/>
          <w:lang w:val="en-US" w:eastAsia="zh-CN" w:bidi="ar"/>
        </w:rPr>
        <w:t>（四）系统评定生成等级。</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根据所有信用信息评分累计的结果，得出企业年度信用信息情况最终分值，生成相应信用信息评定等级。</w:t>
      </w:r>
    </w:p>
    <w:p w14:paraId="048284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第十五条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计分计算周期为一年，从每年的1月1日起至当年的12月31日止，周期届满，次年重新计算。</w:t>
      </w:r>
    </w:p>
    <w:p w14:paraId="3100D3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第十六条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优良信息和不良信息计分周期，原则上按照信息的有效时限同步计算，具体到年；没有有效时限的，原则上当年有效，计算周期为一年。涉及列入黑名单事项的，计算周期根据企业整改情况确定。</w:t>
      </w:r>
    </w:p>
    <w:p w14:paraId="7D9490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第十七条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物业服务企业有下列情形之一的，直接列入黑名单：</w:t>
      </w:r>
    </w:p>
    <w:p w14:paraId="4E8E64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（一）企业或企业主要负责人（董事长、总经理、法定代表人等）因物业服务企业承担过错原因，通过人民法院司法程序认定，被列入失信被执行人名单的；</w:t>
      </w:r>
    </w:p>
    <w:p w14:paraId="617E3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（二）经司法机关或行政机关确认因物业服务企业全部责任或主要责任发生的较大安全事故的；</w:t>
      </w:r>
    </w:p>
    <w:p w14:paraId="23A6BD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（三）因物业服务企业过错引发重大群体上访或越级上访事件，影响社会稳定，造成严重不良后果的；</w:t>
      </w:r>
    </w:p>
    <w:p w14:paraId="0E1CD7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（四）挪用、骗取、套用物业专项维修资金的；</w:t>
      </w:r>
    </w:p>
    <w:p w14:paraId="306F99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（五）物业服务企业在物业服务活动中承担主要责任的生效判决裁决、被物业行政主管部门行政处罚、公开通报等拒不执行、拒不整改的；</w:t>
      </w:r>
    </w:p>
    <w:p w14:paraId="7A6F87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（六）未向物业行政主管部门申报企业信息，已从事物业服务活动且未向项目所在地的物业行政主管部门、街道办事处（乡镇人民政府）办理备案，经督促仍未备案的；</w:t>
      </w:r>
    </w:p>
    <w:p w14:paraId="4BDE8F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（七）</w:t>
      </w:r>
      <w:r>
        <w:rPr>
          <w:rFonts w:hint="eastAsia" w:ascii="仿宋_GB2312" w:hAnsi="Times New Roman" w:eastAsia="仿宋_GB2312" w:cs="仿宋_GB2312"/>
          <w:i w:val="0"/>
          <w:caps w:val="0"/>
          <w:color w:val="000000"/>
          <w:spacing w:val="0"/>
          <w:kern w:val="0"/>
          <w:sz w:val="27"/>
          <w:szCs w:val="27"/>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其他严重不良行为。</w:t>
      </w:r>
    </w:p>
    <w:p w14:paraId="235B3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黑体" w:hAnsi="宋体" w:eastAsia="黑体" w:cs="黑体"/>
          <w:i w:val="0"/>
          <w:caps w:val="0"/>
          <w:color w:val="000000"/>
          <w:spacing w:val="0"/>
          <w:kern w:val="0"/>
          <w:sz w:val="32"/>
          <w:szCs w:val="32"/>
          <w:shd w:val="clear" w:color="auto" w:fill="FFFFFF"/>
          <w:lang w:val="en-US" w:eastAsia="zh-CN" w:bidi="ar"/>
        </w:rPr>
        <w:t> </w:t>
      </w:r>
    </w:p>
    <w:p w14:paraId="30A2DD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cs="Times New Roman"/>
          <w:i w:val="0"/>
          <w:caps w:val="0"/>
          <w:color w:val="000000"/>
          <w:spacing w:val="0"/>
          <w:sz w:val="27"/>
          <w:szCs w:val="27"/>
        </w:rPr>
      </w:pPr>
      <w:r>
        <w:rPr>
          <w:rFonts w:hint="eastAsia" w:ascii="黑体" w:hAnsi="宋体" w:eastAsia="黑体" w:cs="黑体"/>
          <w:i w:val="0"/>
          <w:caps w:val="0"/>
          <w:color w:val="000000"/>
          <w:spacing w:val="0"/>
          <w:kern w:val="0"/>
          <w:sz w:val="32"/>
          <w:szCs w:val="32"/>
          <w:shd w:val="clear" w:color="auto" w:fill="FFFFFF"/>
          <w:lang w:val="en-US" w:eastAsia="zh-CN" w:bidi="ar"/>
        </w:rPr>
        <w:t>第四章  信用信息发布和应用</w:t>
      </w:r>
    </w:p>
    <w:p w14:paraId="5B6212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p>
    <w:p w14:paraId="4161F6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第十八条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每年3月底前，完成上一年度物业服务企业信用信息评分、评级工作，形成各县(市、区)物业行业信用信息等级评定报告，并通过各县(市、区)住房和城乡建设局门户网站等媒体公开发布。</w:t>
      </w:r>
    </w:p>
    <w:p w14:paraId="7CA28E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第十九条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物业服务企业信用信息保存期限如下：</w:t>
      </w:r>
    </w:p>
    <w:p w14:paraId="627FEE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（一）企业未注销前，基础信息长期保存；</w:t>
      </w:r>
    </w:p>
    <w:p w14:paraId="02ACA1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（二）企业信用信息年度评级结果公开发布的信息保存期限为3年；</w:t>
      </w:r>
    </w:p>
    <w:p w14:paraId="16F2F4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（三）企业的优良信息和不良信息具体评定内容不公开发布，存入企业信用信息档案长久保存。</w:t>
      </w:r>
    </w:p>
    <w:p w14:paraId="262165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第二十条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物业服务企业信用信息档案和评级结果主要用于以下方面：</w:t>
      </w:r>
    </w:p>
    <w:p w14:paraId="473E85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（一）为业主选聘物业服务企业提供参考；</w:t>
      </w:r>
    </w:p>
    <w:p w14:paraId="09EAC9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（二）作为前期物业管理招标的评标参考；</w:t>
      </w:r>
    </w:p>
    <w:p w14:paraId="144E70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（三）作为物业管理项目达标创优的考评内容；</w:t>
      </w:r>
    </w:p>
    <w:p w14:paraId="5BB37A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（四）作为出具企业诚信经营意见的参考依据；</w:t>
      </w:r>
    </w:p>
    <w:p w14:paraId="67788E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（五）作为物业行政主管部门对企业实施其他行政监管工作的重要依据。</w:t>
      </w:r>
    </w:p>
    <w:p w14:paraId="6BEC6B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第二十一条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信用信息等级评定为AAA级，在同等条件下可以采取下列激励措施：</w:t>
      </w:r>
    </w:p>
    <w:p w14:paraId="5A9A24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（一）在实施财政性资金项目安排等各类政府优惠政策中，优先考虑；</w:t>
      </w:r>
    </w:p>
    <w:p w14:paraId="7E986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（二）在物业管理项目达标创优，物业管理项目招标投标中，给予加分等奖励；</w:t>
      </w:r>
    </w:p>
    <w:p w14:paraId="36D189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（三）在日常检查、专项检查中减少检查频次；</w:t>
      </w:r>
    </w:p>
    <w:p w14:paraId="099EE1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（四）可以采取的其他激励措施。</w:t>
      </w:r>
    </w:p>
    <w:p w14:paraId="2D8223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default" w:ascii="Times New Roman" w:hAnsi="Times New Roman" w:eastAsia="宋体" w:cs="Times New Roman"/>
          <w:i w:val="0"/>
          <w:caps w:val="0"/>
          <w:color w:val="000000"/>
          <w:spacing w:val="0"/>
          <w:kern w:val="0"/>
          <w:sz w:val="27"/>
          <w:szCs w:val="27"/>
          <w:shd w:val="clear" w:color="auto" w:fill="FFFFFF"/>
          <w:lang w:val="en-US" w:eastAsia="zh-CN" w:bidi="ar"/>
        </w:rPr>
        <w:t> </w:t>
      </w: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第二十二条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r>
        <w:rPr>
          <w:rFonts w:hint="default" w:ascii="Times New Roman" w:hAnsi="Times New Roman" w:eastAsia="宋体" w:cs="Times New Roman"/>
          <w:i w:val="0"/>
          <w:caps w:val="0"/>
          <w:color w:val="000000"/>
          <w:spacing w:val="0"/>
          <w:kern w:val="0"/>
          <w:sz w:val="27"/>
          <w:szCs w:val="27"/>
          <w:shd w:val="clear" w:color="auto"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信用信息等级评定为D级的、列入黑名单的，可以采取下列惩戒措施：</w:t>
      </w:r>
    </w:p>
    <w:p w14:paraId="5E0BFC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（一）在日常监管中列为重点监管对象，增加检查频次，加强现场核查等；</w:t>
      </w:r>
    </w:p>
    <w:p w14:paraId="04D5DD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（二）在物业管理项目招投标时作为减分或限制参与招投标的参考；</w:t>
      </w:r>
    </w:p>
    <w:p w14:paraId="228195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（三）作为审核财政资金补助、税收优惠等政策扶持的参考；</w:t>
      </w:r>
    </w:p>
    <w:p w14:paraId="0734F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（四）作为政府采购、招标投标等公共资源交易活动的参考；</w:t>
      </w:r>
    </w:p>
    <w:p w14:paraId="3E41E4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（五）作为政府、协会组织的表彰、奖励活动参考；</w:t>
      </w:r>
    </w:p>
    <w:p w14:paraId="3C5260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（六）按照规定可以采取的其他联合惩戒措施。</w:t>
      </w:r>
    </w:p>
    <w:p w14:paraId="28B6F7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第二十三条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各县(市、区)物业行政主管部门从事物业服务企业信用信息档案与评级管理的工作人员应当认真履行职责，不得徇私舞弊、玩忽职守、滥用职权、泄露商业秘密和个人隐私，违者依法追究相关责任。</w:t>
      </w:r>
    </w:p>
    <w:p w14:paraId="7A3F40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第二十四条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物业服务企业因未能及时申报、提供虚假材料等原因影响企业信用信息评定的，由企业自行承担相应责任。</w:t>
      </w:r>
    </w:p>
    <w:p w14:paraId="652DEF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p>
    <w:p w14:paraId="4E8602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cs="Times New Roman"/>
          <w:i w:val="0"/>
          <w:caps w:val="0"/>
          <w:color w:val="000000"/>
          <w:spacing w:val="0"/>
          <w:sz w:val="27"/>
          <w:szCs w:val="27"/>
        </w:rPr>
      </w:pPr>
      <w:r>
        <w:rPr>
          <w:rFonts w:hint="eastAsia" w:ascii="黑体" w:hAnsi="宋体" w:eastAsia="黑体" w:cs="黑体"/>
          <w:i w:val="0"/>
          <w:caps w:val="0"/>
          <w:color w:val="000000"/>
          <w:spacing w:val="0"/>
          <w:kern w:val="0"/>
          <w:sz w:val="32"/>
          <w:szCs w:val="32"/>
          <w:shd w:val="clear" w:color="auto" w:fill="FFFFFF"/>
          <w:lang w:val="en-US" w:eastAsia="zh-CN" w:bidi="ar"/>
        </w:rPr>
        <w:t>第五章  附则</w:t>
      </w:r>
    </w:p>
    <w:p w14:paraId="6DCE01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w:t>
      </w:r>
    </w:p>
    <w:p w14:paraId="1D2C17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Times New Roman" w:hAnsi="Times New Roman" w:cs="Times New Roman"/>
          <w:i w:val="0"/>
          <w:caps w:val="0"/>
          <w:color w:val="000000"/>
          <w:spacing w:val="0"/>
          <w:sz w:val="27"/>
          <w:szCs w:val="27"/>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第二十五条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本办法由白山市住房和城乡建设局负责解释。</w:t>
      </w:r>
    </w:p>
    <w:p w14:paraId="317391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i w:val="0"/>
          <w:caps w:val="0"/>
          <w:color w:val="000000"/>
          <w:spacing w:val="0"/>
          <w:kern w:val="0"/>
          <w:sz w:val="32"/>
          <w:szCs w:val="32"/>
          <w:shd w:val="clear" w:color="auto" w:fill="FFFFFF"/>
          <w:lang w:val="en-US" w:eastAsia="zh-CN" w:bidi="ar"/>
        </w:rPr>
        <w:t>第二十六条</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  本办法自2026年月日起施行。</w:t>
      </w:r>
    </w:p>
    <w:p w14:paraId="4DB0AA5A">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附件：《白山市物业服务企业信用信息评分标准》</w:t>
      </w:r>
    </w:p>
    <w:p w14:paraId="461161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jc w:val="left"/>
        <w:textAlignment w:val="auto"/>
        <w:rPr>
          <w:rFonts w:hint="default" w:ascii="仿宋_GB2312" w:hAnsi="Times New Roman" w:eastAsia="仿宋_GB2312" w:cs="仿宋_GB2312"/>
          <w:i w:val="0"/>
          <w:caps w:val="0"/>
          <w:color w:val="000000"/>
          <w:spacing w:val="0"/>
          <w:kern w:val="0"/>
          <w:sz w:val="32"/>
          <w:szCs w:val="32"/>
          <w:shd w:val="clear" w:color="auto" w:fill="FFFFFF"/>
          <w:lang w:val="en-US" w:eastAsia="zh-CN" w:bidi="ar"/>
        </w:rPr>
      </w:pPr>
    </w:p>
    <w:p w14:paraId="4B37B866">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6C2D739E">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23FDFB22">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57D0ABAD">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0B27A710">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34429D35">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091A45D6">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4C527B1F">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6E400A8C">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6FCBA9BB">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70C6963D">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2F45FDF1">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382686C7">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4B0E044A">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0DAD95B2">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60917757">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7C079077">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4330EABF">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2D81CA29">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p>
    <w:p w14:paraId="349EF26D">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cs="方正小标宋简体"/>
          <w:sz w:val="24"/>
          <w:szCs w:val="24"/>
        </w:rPr>
      </w:pPr>
      <w:r>
        <w:rPr>
          <w:rFonts w:hint="eastAsia" w:ascii="宋体" w:hAnsi="宋体" w:cs="方正小标宋简体"/>
          <w:sz w:val="24"/>
          <w:szCs w:val="24"/>
        </w:rPr>
        <w:t>附件：</w:t>
      </w:r>
    </w:p>
    <w:p w14:paraId="10BB63E2">
      <w:pPr>
        <w:keepNext w:val="0"/>
        <w:keepLines w:val="0"/>
        <w:pageBreakBefore w:val="0"/>
        <w:kinsoku/>
        <w:wordWrap/>
        <w:overflowPunct/>
        <w:topLinePunct w:val="0"/>
        <w:autoSpaceDE/>
        <w:autoSpaceDN/>
        <w:bidi w:val="0"/>
        <w:adjustRightInd/>
        <w:snapToGrid/>
        <w:spacing w:line="576" w:lineRule="exact"/>
        <w:jc w:val="center"/>
        <w:textAlignment w:val="auto"/>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lang w:eastAsia="zh-CN"/>
        </w:rPr>
        <w:t>白山</w:t>
      </w:r>
      <w:r>
        <w:rPr>
          <w:rFonts w:hint="eastAsia" w:ascii="方正小标宋简体" w:hAnsi="仿宋" w:eastAsia="方正小标宋简体" w:cs="方正小标宋简体"/>
          <w:sz w:val="44"/>
          <w:szCs w:val="44"/>
        </w:rPr>
        <w:t>市物业服务企业信用信息评分标准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51"/>
        <w:gridCol w:w="1393"/>
        <w:gridCol w:w="25"/>
        <w:gridCol w:w="2885"/>
      </w:tblGrid>
      <w:tr w14:paraId="5371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14:paraId="7AA02207">
            <w:pPr>
              <w:keepNext w:val="0"/>
              <w:keepLines w:val="0"/>
              <w:pageBreakBefore w:val="0"/>
              <w:kinsoku/>
              <w:wordWrap/>
              <w:overflowPunct/>
              <w:topLinePunct w:val="0"/>
              <w:autoSpaceDE/>
              <w:autoSpaceDN/>
              <w:bidi w:val="0"/>
              <w:adjustRightInd/>
              <w:snapToGrid/>
              <w:spacing w:line="576" w:lineRule="exact"/>
              <w:jc w:val="center"/>
              <w:textAlignment w:val="auto"/>
              <w:rPr>
                <w:rFonts w:ascii="黑体" w:hAnsi="黑体" w:eastAsia="黑体" w:cs="Times New Roman"/>
                <w:sz w:val="28"/>
                <w:szCs w:val="28"/>
              </w:rPr>
            </w:pPr>
            <w:r>
              <w:rPr>
                <w:rFonts w:hint="eastAsia" w:ascii="黑体" w:hAnsi="黑体" w:eastAsia="黑体" w:cs="黑体"/>
                <w:sz w:val="28"/>
                <w:szCs w:val="28"/>
              </w:rPr>
              <w:t>项目</w:t>
            </w:r>
          </w:p>
        </w:tc>
        <w:tc>
          <w:tcPr>
            <w:tcW w:w="2551" w:type="dxa"/>
            <w:noWrap w:val="0"/>
            <w:vAlign w:val="top"/>
          </w:tcPr>
          <w:p w14:paraId="337B261B">
            <w:pPr>
              <w:keepNext w:val="0"/>
              <w:keepLines w:val="0"/>
              <w:pageBreakBefore w:val="0"/>
              <w:kinsoku/>
              <w:wordWrap/>
              <w:overflowPunct/>
              <w:topLinePunct w:val="0"/>
              <w:autoSpaceDE/>
              <w:autoSpaceDN/>
              <w:bidi w:val="0"/>
              <w:adjustRightInd/>
              <w:snapToGrid/>
              <w:spacing w:line="576" w:lineRule="exact"/>
              <w:jc w:val="center"/>
              <w:textAlignment w:val="auto"/>
              <w:rPr>
                <w:rFonts w:ascii="黑体" w:hAnsi="黑体" w:eastAsia="黑体" w:cs="Times New Roman"/>
                <w:sz w:val="28"/>
                <w:szCs w:val="28"/>
              </w:rPr>
            </w:pPr>
            <w:r>
              <w:rPr>
                <w:rFonts w:hint="eastAsia" w:ascii="黑体" w:hAnsi="黑体" w:eastAsia="黑体" w:cs="黑体"/>
                <w:sz w:val="28"/>
                <w:szCs w:val="28"/>
              </w:rPr>
              <w:t>信用信息</w:t>
            </w:r>
          </w:p>
        </w:tc>
        <w:tc>
          <w:tcPr>
            <w:tcW w:w="4303" w:type="dxa"/>
            <w:gridSpan w:val="3"/>
            <w:noWrap w:val="0"/>
            <w:vAlign w:val="top"/>
          </w:tcPr>
          <w:p w14:paraId="5176D3AF">
            <w:pPr>
              <w:keepNext w:val="0"/>
              <w:keepLines w:val="0"/>
              <w:pageBreakBefore w:val="0"/>
              <w:kinsoku/>
              <w:wordWrap/>
              <w:overflowPunct/>
              <w:topLinePunct w:val="0"/>
              <w:autoSpaceDE/>
              <w:autoSpaceDN/>
              <w:bidi w:val="0"/>
              <w:adjustRightInd/>
              <w:snapToGrid/>
              <w:spacing w:line="576" w:lineRule="exact"/>
              <w:jc w:val="center"/>
              <w:textAlignment w:val="auto"/>
              <w:rPr>
                <w:rFonts w:ascii="黑体" w:hAnsi="黑体" w:eastAsia="黑体" w:cs="Times New Roman"/>
                <w:sz w:val="28"/>
                <w:szCs w:val="28"/>
              </w:rPr>
            </w:pPr>
            <w:r>
              <w:rPr>
                <w:rFonts w:hint="eastAsia" w:ascii="黑体" w:hAnsi="黑体" w:eastAsia="黑体" w:cs="黑体"/>
                <w:sz w:val="28"/>
                <w:szCs w:val="28"/>
              </w:rPr>
              <w:t>评分标准</w:t>
            </w:r>
          </w:p>
        </w:tc>
      </w:tr>
      <w:tr w14:paraId="1A1E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noWrap w:val="0"/>
            <w:vAlign w:val="center"/>
          </w:tcPr>
          <w:p w14:paraId="198BE5E9">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r>
              <w:rPr>
                <w:rFonts w:hint="eastAsia" w:ascii="宋体" w:hAnsi="宋体" w:cs="宋体"/>
                <w:b/>
                <w:bCs/>
              </w:rPr>
              <w:t>基础信息</w:t>
            </w:r>
          </w:p>
          <w:p w14:paraId="32370C35">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r>
              <w:rPr>
                <w:rFonts w:hint="eastAsia" w:ascii="宋体" w:hAnsi="宋体" w:cs="宋体"/>
                <w:b/>
                <w:bCs/>
              </w:rPr>
              <w:t>（</w:t>
            </w:r>
            <w:r>
              <w:rPr>
                <w:rFonts w:ascii="宋体" w:hAnsi="宋体" w:cs="宋体"/>
                <w:b/>
                <w:bCs/>
              </w:rPr>
              <w:t>6</w:t>
            </w:r>
            <w:r>
              <w:rPr>
                <w:rFonts w:hint="eastAsia" w:ascii="宋体" w:hAnsi="宋体" w:cs="宋体"/>
                <w:b/>
                <w:bCs/>
              </w:rPr>
              <w:t>0分）</w:t>
            </w:r>
          </w:p>
        </w:tc>
        <w:tc>
          <w:tcPr>
            <w:tcW w:w="2551" w:type="dxa"/>
            <w:noWrap w:val="0"/>
            <w:vAlign w:val="center"/>
          </w:tcPr>
          <w:p w14:paraId="5953BDE6">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企业注册信息</w:t>
            </w:r>
          </w:p>
        </w:tc>
        <w:tc>
          <w:tcPr>
            <w:tcW w:w="4303" w:type="dxa"/>
            <w:gridSpan w:val="3"/>
            <w:noWrap w:val="0"/>
            <w:vAlign w:val="center"/>
          </w:tcPr>
          <w:p w14:paraId="60D46FD9">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企业名称、统一社会信用代码（营业执照、组织机构代码、税务登记号）、注册地、企业法人代表人、联系方式等。</w:t>
            </w:r>
          </w:p>
        </w:tc>
      </w:tr>
      <w:tr w14:paraId="726E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668" w:type="dxa"/>
            <w:vMerge w:val="continue"/>
            <w:noWrap w:val="0"/>
            <w:vAlign w:val="center"/>
          </w:tcPr>
          <w:p w14:paraId="4FEE6FA4">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2551" w:type="dxa"/>
            <w:noWrap w:val="0"/>
            <w:vAlign w:val="center"/>
          </w:tcPr>
          <w:p w14:paraId="34BDB83C">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企业人员信息</w:t>
            </w:r>
          </w:p>
        </w:tc>
        <w:tc>
          <w:tcPr>
            <w:tcW w:w="4303" w:type="dxa"/>
            <w:gridSpan w:val="3"/>
            <w:noWrap w:val="0"/>
            <w:vAlign w:val="center"/>
          </w:tcPr>
          <w:p w14:paraId="3A987C64">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企业法定代表人、总经理、主要管理人员姓名、联系电话等</w:t>
            </w:r>
          </w:p>
        </w:tc>
      </w:tr>
      <w:tr w14:paraId="0996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668" w:type="dxa"/>
            <w:vMerge w:val="continue"/>
            <w:noWrap w:val="0"/>
            <w:vAlign w:val="center"/>
          </w:tcPr>
          <w:p w14:paraId="391515C7">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2551" w:type="dxa"/>
            <w:noWrap w:val="0"/>
            <w:vAlign w:val="center"/>
          </w:tcPr>
          <w:p w14:paraId="35CF19C8">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物业管理项目信息</w:t>
            </w:r>
          </w:p>
        </w:tc>
        <w:tc>
          <w:tcPr>
            <w:tcW w:w="4303" w:type="dxa"/>
            <w:gridSpan w:val="3"/>
            <w:noWrap w:val="0"/>
            <w:vAlign w:val="center"/>
          </w:tcPr>
          <w:p w14:paraId="31DD95FD">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项目名称、类型、地址、建筑面积、项目管理人等</w:t>
            </w:r>
          </w:p>
        </w:tc>
      </w:tr>
      <w:tr w14:paraId="220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668" w:type="dxa"/>
            <w:vMerge w:val="restart"/>
            <w:noWrap w:val="0"/>
            <w:vAlign w:val="center"/>
          </w:tcPr>
          <w:p w14:paraId="276C50F1">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r>
              <w:rPr>
                <w:rFonts w:hint="eastAsia" w:ascii="宋体" w:hAnsi="宋体" w:cs="宋体"/>
                <w:b/>
                <w:bCs/>
              </w:rPr>
              <w:t>优良信息</w:t>
            </w:r>
          </w:p>
          <w:p w14:paraId="6BC14870">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r>
              <w:rPr>
                <w:rFonts w:hint="eastAsia" w:ascii="宋体" w:hAnsi="宋体" w:cs="宋体"/>
                <w:b/>
                <w:bCs/>
              </w:rPr>
              <w:t>（不超过40分）</w:t>
            </w:r>
          </w:p>
        </w:tc>
        <w:tc>
          <w:tcPr>
            <w:tcW w:w="2551" w:type="dxa"/>
            <w:noWrap w:val="0"/>
            <w:vAlign w:val="center"/>
          </w:tcPr>
          <w:p w14:paraId="35AC09F0">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管理项目备案</w:t>
            </w:r>
          </w:p>
        </w:tc>
        <w:tc>
          <w:tcPr>
            <w:tcW w:w="4303" w:type="dxa"/>
            <w:gridSpan w:val="3"/>
            <w:noWrap w:val="0"/>
            <w:vAlign w:val="center"/>
          </w:tcPr>
          <w:p w14:paraId="1BAB4E9E">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企业接管物业项目后，持物业服务合同、营业执照等到辖区物业管理部门办理备案。所有项目全部备案加满</w:t>
            </w:r>
            <w:r>
              <w:rPr>
                <w:rFonts w:ascii="宋体" w:hAnsi="宋体" w:cs="宋体"/>
              </w:rPr>
              <w:t>5</w:t>
            </w:r>
            <w:r>
              <w:rPr>
                <w:rFonts w:hint="eastAsia" w:ascii="宋体" w:hAnsi="宋体" w:cs="宋体"/>
              </w:rPr>
              <w:t>分。</w:t>
            </w:r>
          </w:p>
        </w:tc>
      </w:tr>
      <w:tr w14:paraId="0C97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668" w:type="dxa"/>
            <w:vMerge w:val="continue"/>
            <w:noWrap w:val="0"/>
            <w:vAlign w:val="center"/>
          </w:tcPr>
          <w:p w14:paraId="058CA025">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2551" w:type="dxa"/>
            <w:noWrap w:val="0"/>
            <w:vAlign w:val="center"/>
          </w:tcPr>
          <w:p w14:paraId="101ED844">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各级党委、政府、主管部门及行业协会表彰</w:t>
            </w:r>
          </w:p>
        </w:tc>
        <w:tc>
          <w:tcPr>
            <w:tcW w:w="4303" w:type="dxa"/>
            <w:gridSpan w:val="3"/>
            <w:noWrap w:val="0"/>
            <w:vAlign w:val="center"/>
          </w:tcPr>
          <w:p w14:paraId="7B6E54E0">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按国家、省、市、区分四级，包括企业评先、小区达标创优等，以正式文件为准，按照</w:t>
            </w:r>
            <w:r>
              <w:rPr>
                <w:rFonts w:ascii="宋体" w:hAnsi="宋体" w:cs="宋体"/>
              </w:rPr>
              <w:t>4</w:t>
            </w:r>
            <w:r>
              <w:rPr>
                <w:rFonts w:hint="eastAsia" w:ascii="宋体" w:hAnsi="宋体" w:cs="宋体"/>
              </w:rPr>
              <w:t>、</w:t>
            </w:r>
            <w:r>
              <w:rPr>
                <w:rFonts w:ascii="宋体" w:hAnsi="宋体" w:cs="宋体"/>
              </w:rPr>
              <w:t>3</w:t>
            </w:r>
            <w:r>
              <w:rPr>
                <w:rFonts w:hint="eastAsia" w:ascii="宋体" w:hAnsi="宋体" w:cs="宋体"/>
              </w:rPr>
              <w:t>、</w:t>
            </w:r>
            <w:r>
              <w:rPr>
                <w:rFonts w:ascii="宋体" w:hAnsi="宋体" w:cs="宋体"/>
              </w:rPr>
              <w:t>2</w:t>
            </w:r>
            <w:r>
              <w:rPr>
                <w:rFonts w:hint="eastAsia" w:ascii="宋体" w:hAnsi="宋体" w:cs="宋体"/>
              </w:rPr>
              <w:t>、</w:t>
            </w:r>
            <w:r>
              <w:rPr>
                <w:rFonts w:ascii="宋体" w:hAnsi="宋体" w:cs="宋体"/>
              </w:rPr>
              <w:t>1</w:t>
            </w:r>
            <w:r>
              <w:rPr>
                <w:rFonts w:hint="eastAsia" w:ascii="宋体" w:hAnsi="宋体" w:cs="宋体"/>
              </w:rPr>
              <w:t>得分，表彰人员的，减半得分。可累计得分，最高不超过</w:t>
            </w:r>
            <w:r>
              <w:rPr>
                <w:rFonts w:ascii="宋体" w:hAnsi="宋体" w:cs="宋体"/>
              </w:rPr>
              <w:t>1</w:t>
            </w:r>
            <w:r>
              <w:rPr>
                <w:rFonts w:hint="eastAsia" w:ascii="宋体" w:hAnsi="宋体" w:cs="宋体"/>
              </w:rPr>
              <w:t>2分。</w:t>
            </w:r>
          </w:p>
        </w:tc>
      </w:tr>
      <w:tr w14:paraId="21D2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668" w:type="dxa"/>
            <w:vMerge w:val="continue"/>
            <w:noWrap w:val="0"/>
            <w:vAlign w:val="center"/>
          </w:tcPr>
          <w:p w14:paraId="08B91650">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2551" w:type="dxa"/>
            <w:noWrap w:val="0"/>
            <w:vAlign w:val="center"/>
          </w:tcPr>
          <w:p w14:paraId="0B35C79B">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物业主管部门监管检查中被通报表扬</w:t>
            </w:r>
          </w:p>
        </w:tc>
        <w:tc>
          <w:tcPr>
            <w:tcW w:w="4303" w:type="dxa"/>
            <w:gridSpan w:val="3"/>
            <w:noWrap w:val="0"/>
            <w:vAlign w:val="center"/>
          </w:tcPr>
          <w:p w14:paraId="51A915E6">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环境、安全、清雪等专项整治检查中被市、区物业主管部门、街道（乡镇）通报表扬一次加</w:t>
            </w:r>
            <w:r>
              <w:rPr>
                <w:rFonts w:ascii="宋体" w:hAnsi="宋体" w:cs="宋体"/>
              </w:rPr>
              <w:t>2</w:t>
            </w:r>
            <w:r>
              <w:rPr>
                <w:rFonts w:hint="eastAsia" w:ascii="宋体" w:hAnsi="宋体" w:cs="宋体"/>
              </w:rPr>
              <w:t>分，最高不超过</w:t>
            </w:r>
            <w:r>
              <w:rPr>
                <w:rFonts w:ascii="宋体" w:hAnsi="宋体" w:cs="宋体"/>
              </w:rPr>
              <w:t>6</w:t>
            </w:r>
            <w:r>
              <w:rPr>
                <w:rFonts w:hint="eastAsia" w:ascii="宋体" w:hAnsi="宋体" w:cs="宋体"/>
              </w:rPr>
              <w:t>分。</w:t>
            </w:r>
          </w:p>
        </w:tc>
      </w:tr>
      <w:tr w14:paraId="46A2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668" w:type="dxa"/>
            <w:vMerge w:val="continue"/>
            <w:noWrap w:val="0"/>
            <w:vAlign w:val="center"/>
          </w:tcPr>
          <w:p w14:paraId="36A0F99F">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2551" w:type="dxa"/>
            <w:noWrap w:val="0"/>
            <w:vAlign w:val="center"/>
          </w:tcPr>
          <w:p w14:paraId="312AB781">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业主满意度调查</w:t>
            </w:r>
            <w:r>
              <w:rPr>
                <w:rFonts w:ascii="宋体" w:hAnsi="宋体" w:cs="宋体"/>
              </w:rPr>
              <w:t>80%</w:t>
            </w:r>
            <w:r>
              <w:rPr>
                <w:rFonts w:hint="eastAsia" w:ascii="宋体" w:hAnsi="宋体" w:cs="宋体"/>
              </w:rPr>
              <w:t>以上</w:t>
            </w:r>
          </w:p>
        </w:tc>
        <w:tc>
          <w:tcPr>
            <w:tcW w:w="4303" w:type="dxa"/>
            <w:gridSpan w:val="3"/>
            <w:noWrap w:val="0"/>
            <w:vAlign w:val="center"/>
          </w:tcPr>
          <w:p w14:paraId="29E55A47">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项目所属街道（乡镇）、社区居（村）委会组织的业主满意度调查达</w:t>
            </w:r>
            <w:r>
              <w:rPr>
                <w:rFonts w:ascii="宋体" w:hAnsi="宋体" w:cs="宋体"/>
              </w:rPr>
              <w:t>90%</w:t>
            </w:r>
            <w:r>
              <w:rPr>
                <w:rFonts w:hint="eastAsia" w:ascii="宋体" w:hAnsi="宋体" w:cs="宋体"/>
              </w:rPr>
              <w:t>（含）以上的，每个项目加</w:t>
            </w:r>
            <w:r>
              <w:rPr>
                <w:rFonts w:ascii="宋体" w:hAnsi="宋体" w:cs="宋体"/>
              </w:rPr>
              <w:t>2</w:t>
            </w:r>
            <w:r>
              <w:rPr>
                <w:rFonts w:hint="eastAsia" w:ascii="宋体" w:hAnsi="宋体" w:cs="宋体"/>
              </w:rPr>
              <w:t>分；</w:t>
            </w:r>
            <w:r>
              <w:rPr>
                <w:rFonts w:ascii="宋体" w:hAnsi="宋体" w:cs="宋体"/>
              </w:rPr>
              <w:t xml:space="preserve"> 80%</w:t>
            </w:r>
            <w:r>
              <w:rPr>
                <w:rFonts w:hint="eastAsia" w:ascii="宋体" w:hAnsi="宋体" w:cs="宋体"/>
              </w:rPr>
              <w:t>（含）—90%的，每个项目加</w:t>
            </w:r>
            <w:r>
              <w:rPr>
                <w:rFonts w:ascii="宋体" w:hAnsi="宋体" w:cs="宋体"/>
              </w:rPr>
              <w:t>1</w:t>
            </w:r>
            <w:r>
              <w:rPr>
                <w:rFonts w:hint="eastAsia" w:ascii="宋体" w:hAnsi="宋体" w:cs="宋体"/>
              </w:rPr>
              <w:t>分，最高不超过</w:t>
            </w:r>
            <w:r>
              <w:rPr>
                <w:rFonts w:ascii="宋体" w:hAnsi="宋体" w:cs="宋体"/>
              </w:rPr>
              <w:t>5</w:t>
            </w:r>
            <w:r>
              <w:rPr>
                <w:rFonts w:hint="eastAsia" w:ascii="宋体" w:hAnsi="宋体" w:cs="宋体"/>
              </w:rPr>
              <w:t>分</w:t>
            </w:r>
          </w:p>
        </w:tc>
      </w:tr>
      <w:tr w14:paraId="5F00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668" w:type="dxa"/>
            <w:vMerge w:val="continue"/>
            <w:noWrap w:val="0"/>
            <w:vAlign w:val="center"/>
          </w:tcPr>
          <w:p w14:paraId="6749EF03">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2551" w:type="dxa"/>
            <w:noWrap w:val="0"/>
            <w:vAlign w:val="center"/>
          </w:tcPr>
          <w:p w14:paraId="3595D385">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重点工作落实到位</w:t>
            </w:r>
          </w:p>
        </w:tc>
        <w:tc>
          <w:tcPr>
            <w:tcW w:w="4303" w:type="dxa"/>
            <w:gridSpan w:val="3"/>
            <w:noWrap w:val="0"/>
            <w:vAlign w:val="center"/>
          </w:tcPr>
          <w:p w14:paraId="3321362C">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在党委、政府、行业主管部门及协会确定的重点工作、主题活动中，企业积极参与认真落实，得到相应肯定的每项加</w:t>
            </w:r>
            <w:r>
              <w:rPr>
                <w:rFonts w:ascii="宋体" w:hAnsi="宋体" w:cs="宋体"/>
              </w:rPr>
              <w:t>1-3</w:t>
            </w:r>
            <w:r>
              <w:rPr>
                <w:rFonts w:hint="eastAsia" w:ascii="宋体" w:hAnsi="宋体" w:cs="宋体"/>
              </w:rPr>
              <w:t>分，最高不超5分。</w:t>
            </w:r>
          </w:p>
        </w:tc>
      </w:tr>
      <w:tr w14:paraId="36D7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68" w:type="dxa"/>
            <w:vMerge w:val="continue"/>
            <w:noWrap w:val="0"/>
            <w:vAlign w:val="center"/>
          </w:tcPr>
          <w:p w14:paraId="45F67704">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2551" w:type="dxa"/>
            <w:noWrap w:val="0"/>
            <w:vAlign w:val="center"/>
          </w:tcPr>
          <w:p w14:paraId="00A7A513">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参加行业协会，积极履行会员义务</w:t>
            </w:r>
          </w:p>
        </w:tc>
        <w:tc>
          <w:tcPr>
            <w:tcW w:w="4303" w:type="dxa"/>
            <w:gridSpan w:val="3"/>
            <w:noWrap w:val="0"/>
            <w:vAlign w:val="center"/>
          </w:tcPr>
          <w:p w14:paraId="39AF5E45">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积极参与协会组织、宣传工作的加2分，积极参加行业协会活动、培训，认真履行协会会员义务的加2分。</w:t>
            </w:r>
          </w:p>
        </w:tc>
      </w:tr>
      <w:tr w14:paraId="41CF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68" w:type="dxa"/>
            <w:vMerge w:val="continue"/>
            <w:noWrap w:val="0"/>
            <w:vAlign w:val="center"/>
          </w:tcPr>
          <w:p w14:paraId="128849B0">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2551" w:type="dxa"/>
            <w:noWrap w:val="0"/>
            <w:vAlign w:val="center"/>
          </w:tcPr>
          <w:p w14:paraId="633BF34E">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其他优良信息</w:t>
            </w:r>
          </w:p>
        </w:tc>
        <w:tc>
          <w:tcPr>
            <w:tcW w:w="4303" w:type="dxa"/>
            <w:gridSpan w:val="3"/>
            <w:noWrap w:val="0"/>
            <w:vAlign w:val="center"/>
          </w:tcPr>
          <w:p w14:paraId="7844FBCD">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如参加社会公益活动、各类企业献爱心活动、作为正面典型在各级新闻媒体宣传报道的，加</w:t>
            </w:r>
            <w:r>
              <w:rPr>
                <w:rFonts w:ascii="宋体" w:hAnsi="宋体" w:cs="宋体"/>
              </w:rPr>
              <w:t>1-3</w:t>
            </w:r>
            <w:r>
              <w:rPr>
                <w:rFonts w:hint="eastAsia" w:ascii="宋体" w:hAnsi="宋体" w:cs="宋体"/>
              </w:rPr>
              <w:t>分。</w:t>
            </w:r>
          </w:p>
        </w:tc>
      </w:tr>
      <w:tr w14:paraId="2E99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668" w:type="dxa"/>
            <w:vMerge w:val="restart"/>
            <w:noWrap w:val="0"/>
            <w:vAlign w:val="center"/>
          </w:tcPr>
          <w:p w14:paraId="4077030C">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r>
              <w:rPr>
                <w:rFonts w:hint="eastAsia" w:ascii="宋体" w:hAnsi="宋体" w:cs="宋体"/>
                <w:b/>
                <w:bCs/>
              </w:rPr>
              <w:t>不良信息</w:t>
            </w:r>
          </w:p>
        </w:tc>
        <w:tc>
          <w:tcPr>
            <w:tcW w:w="3944" w:type="dxa"/>
            <w:gridSpan w:val="2"/>
            <w:noWrap w:val="0"/>
            <w:vAlign w:val="center"/>
          </w:tcPr>
          <w:p w14:paraId="5BFD65A0">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在物业服务纠纷诉讼中</w:t>
            </w:r>
            <w:r>
              <w:rPr>
                <w:rFonts w:hint="eastAsia" w:ascii="宋体" w:hAnsi="宋体" w:cs="宋体"/>
                <w:strike/>
              </w:rPr>
              <w:t>经</w:t>
            </w:r>
            <w:r>
              <w:rPr>
                <w:rFonts w:hint="eastAsia" w:ascii="宋体" w:hAnsi="宋体" w:cs="宋体"/>
              </w:rPr>
              <w:t>纪人民法院判决和经仲裁委裁决，需物业服务企业承担责任的；被相关行政执法部门作出具体行政处罚的</w:t>
            </w:r>
          </w:p>
        </w:tc>
        <w:tc>
          <w:tcPr>
            <w:tcW w:w="2910" w:type="dxa"/>
            <w:gridSpan w:val="2"/>
            <w:noWrap w:val="0"/>
            <w:vAlign w:val="center"/>
          </w:tcPr>
          <w:p w14:paraId="3A015CF0">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每一案件扣</w:t>
            </w:r>
            <w:r>
              <w:rPr>
                <w:rFonts w:ascii="宋体" w:hAnsi="宋体" w:cs="宋体"/>
              </w:rPr>
              <w:t>3</w:t>
            </w:r>
            <w:r>
              <w:rPr>
                <w:rFonts w:hint="eastAsia" w:ascii="宋体" w:hAnsi="宋体" w:cs="宋体"/>
              </w:rPr>
              <w:t>分</w:t>
            </w:r>
          </w:p>
        </w:tc>
      </w:tr>
      <w:tr w14:paraId="1826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668" w:type="dxa"/>
            <w:vMerge w:val="continue"/>
            <w:noWrap w:val="0"/>
            <w:vAlign w:val="center"/>
          </w:tcPr>
          <w:p w14:paraId="1D1D70C5">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44" w:type="dxa"/>
            <w:gridSpan w:val="2"/>
            <w:noWrap w:val="0"/>
            <w:vAlign w:val="center"/>
          </w:tcPr>
          <w:p w14:paraId="350E7C4B">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物业企业发生一般安全事故，或经物业主管部门及其他行政部门认定，在日常服务中存在违法违规行为的</w:t>
            </w:r>
          </w:p>
        </w:tc>
        <w:tc>
          <w:tcPr>
            <w:tcW w:w="2910" w:type="dxa"/>
            <w:gridSpan w:val="2"/>
            <w:noWrap w:val="0"/>
            <w:vAlign w:val="center"/>
          </w:tcPr>
          <w:p w14:paraId="1156872E">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根据情况每出现一次（起）扣</w:t>
            </w:r>
            <w:r>
              <w:rPr>
                <w:rFonts w:ascii="宋体" w:hAnsi="宋体" w:cs="宋体"/>
              </w:rPr>
              <w:t>3</w:t>
            </w:r>
            <w:r>
              <w:rPr>
                <w:rFonts w:hint="eastAsia" w:ascii="宋体" w:hAnsi="宋体" w:cs="宋体"/>
              </w:rPr>
              <w:t>－5分</w:t>
            </w:r>
          </w:p>
        </w:tc>
      </w:tr>
      <w:tr w14:paraId="2F45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8" w:type="dxa"/>
            <w:vMerge w:val="continue"/>
            <w:noWrap w:val="0"/>
            <w:vAlign w:val="center"/>
          </w:tcPr>
          <w:p w14:paraId="673DDF08">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061A596F">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无故不参加主管部门及协会等组织的会议、活动、培训的，未按要求及时向主管部门报送相关资料、报表的</w:t>
            </w:r>
          </w:p>
        </w:tc>
        <w:tc>
          <w:tcPr>
            <w:tcW w:w="2885" w:type="dxa"/>
            <w:noWrap w:val="0"/>
            <w:vAlign w:val="center"/>
          </w:tcPr>
          <w:p w14:paraId="24BF0980">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出现一次扣</w:t>
            </w:r>
            <w:r>
              <w:rPr>
                <w:rFonts w:ascii="宋体" w:hAnsi="宋体" w:cs="宋体"/>
              </w:rPr>
              <w:t>2</w:t>
            </w:r>
            <w:r>
              <w:rPr>
                <w:rFonts w:hint="eastAsia" w:ascii="宋体" w:hAnsi="宋体" w:cs="宋体"/>
              </w:rPr>
              <w:t>分</w:t>
            </w:r>
          </w:p>
        </w:tc>
      </w:tr>
      <w:tr w14:paraId="0A9E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1668" w:type="dxa"/>
            <w:vMerge w:val="continue"/>
            <w:noWrap w:val="0"/>
            <w:vAlign w:val="center"/>
          </w:tcPr>
          <w:p w14:paraId="1536216F">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7915ACF2">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宋体" w:cs="宋体"/>
              </w:rPr>
            </w:pPr>
            <w:r>
              <w:rPr>
                <w:rFonts w:hint="eastAsia" w:ascii="宋体" w:hAnsi="宋体" w:cs="宋体"/>
              </w:rPr>
              <w:t>市、区物业主管部门、街道（乡镇）在行业日常抽查、检查中，发现企业未按合同履约，服务质量较差，且物业企业不整改或整改不到位的</w:t>
            </w:r>
          </w:p>
        </w:tc>
        <w:tc>
          <w:tcPr>
            <w:tcW w:w="2885" w:type="dxa"/>
            <w:noWrap w:val="0"/>
            <w:vAlign w:val="center"/>
          </w:tcPr>
          <w:p w14:paraId="22446D58">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宋体"/>
              </w:rPr>
            </w:pPr>
            <w:r>
              <w:rPr>
                <w:rFonts w:hint="eastAsia" w:ascii="宋体" w:hAnsi="宋体" w:cs="宋体"/>
              </w:rPr>
              <w:t>出现一次，酌情扣</w:t>
            </w:r>
            <w:r>
              <w:rPr>
                <w:rFonts w:ascii="宋体" w:hAnsi="宋体" w:cs="宋体"/>
              </w:rPr>
              <w:t>3—5</w:t>
            </w:r>
            <w:r>
              <w:rPr>
                <w:rFonts w:hint="eastAsia" w:ascii="宋体" w:hAnsi="宋体" w:cs="宋体"/>
              </w:rPr>
              <w:t>分</w:t>
            </w:r>
          </w:p>
        </w:tc>
      </w:tr>
      <w:tr w14:paraId="6BF6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668" w:type="dxa"/>
            <w:vMerge w:val="continue"/>
            <w:noWrap w:val="0"/>
            <w:vAlign w:val="center"/>
          </w:tcPr>
          <w:p w14:paraId="1EAAA4CE">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63525D39">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项目所在街道、社区在物业服务日常监督检查、评价等活动中，对服务合同履行、公共部位及公共设施设备管理维护、小区秩序等方面指出问题的</w:t>
            </w:r>
          </w:p>
        </w:tc>
        <w:tc>
          <w:tcPr>
            <w:tcW w:w="2885" w:type="dxa"/>
            <w:noWrap w:val="0"/>
            <w:vAlign w:val="center"/>
          </w:tcPr>
          <w:p w14:paraId="0A4BF586">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出现一次扣</w:t>
            </w:r>
            <w:r>
              <w:rPr>
                <w:rFonts w:ascii="宋体" w:hAnsi="宋体" w:cs="宋体"/>
              </w:rPr>
              <w:t>3</w:t>
            </w:r>
            <w:r>
              <w:rPr>
                <w:rFonts w:hint="eastAsia" w:ascii="宋体" w:hAnsi="宋体" w:cs="宋体"/>
              </w:rPr>
              <w:t>分</w:t>
            </w:r>
          </w:p>
        </w:tc>
      </w:tr>
      <w:tr w14:paraId="2BFC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1668" w:type="dxa"/>
            <w:vMerge w:val="continue"/>
            <w:noWrap w:val="0"/>
            <w:vAlign w:val="center"/>
          </w:tcPr>
          <w:p w14:paraId="61A2BC52">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3A7D911A">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在环境集中整治、安全整治、清雪等专项整治检查中，被物业主管部门或者其他行政部门书面通报的，接到相关管理部门发出的整改通知，物业企业不整改或整改不到位的</w:t>
            </w:r>
          </w:p>
        </w:tc>
        <w:tc>
          <w:tcPr>
            <w:tcW w:w="2885" w:type="dxa"/>
            <w:noWrap w:val="0"/>
            <w:vAlign w:val="center"/>
          </w:tcPr>
          <w:p w14:paraId="570AD39B">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每发生一件扣</w:t>
            </w:r>
            <w:r>
              <w:rPr>
                <w:rFonts w:ascii="宋体" w:hAnsi="宋体" w:cs="宋体"/>
              </w:rPr>
              <w:t>3</w:t>
            </w:r>
            <w:r>
              <w:rPr>
                <w:rFonts w:hint="eastAsia" w:ascii="宋体" w:hAnsi="宋体" w:cs="宋体"/>
              </w:rPr>
              <w:t>分</w:t>
            </w:r>
          </w:p>
        </w:tc>
      </w:tr>
      <w:tr w14:paraId="0847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68" w:type="dxa"/>
            <w:vMerge w:val="continue"/>
            <w:noWrap w:val="0"/>
            <w:vAlign w:val="center"/>
          </w:tcPr>
          <w:p w14:paraId="508F56F5">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435EB2DB">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管理项目业主满意度调查低于</w:t>
            </w:r>
            <w:r>
              <w:rPr>
                <w:rFonts w:ascii="宋体" w:hAnsi="宋体" w:cs="宋体"/>
              </w:rPr>
              <w:t>60%</w:t>
            </w:r>
            <w:r>
              <w:rPr>
                <w:rFonts w:hint="eastAsia" w:ascii="宋体" w:hAnsi="宋体" w:cs="宋体"/>
              </w:rPr>
              <w:t>（不含）的</w:t>
            </w:r>
          </w:p>
        </w:tc>
        <w:tc>
          <w:tcPr>
            <w:tcW w:w="2885" w:type="dxa"/>
            <w:noWrap w:val="0"/>
            <w:vAlign w:val="center"/>
          </w:tcPr>
          <w:p w14:paraId="1B1BDAA2">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项目所属街道（乡镇）、社区居（村）委会组织的业主满意度调查低于</w:t>
            </w:r>
            <w:r>
              <w:rPr>
                <w:rFonts w:ascii="宋体" w:hAnsi="宋体" w:cs="宋体"/>
              </w:rPr>
              <w:t>60%</w:t>
            </w:r>
            <w:r>
              <w:rPr>
                <w:rFonts w:hint="eastAsia" w:ascii="宋体" w:hAnsi="宋体" w:cs="宋体"/>
              </w:rPr>
              <w:t>（不含）的，每个项目减</w:t>
            </w:r>
            <w:r>
              <w:rPr>
                <w:rFonts w:ascii="宋体" w:hAnsi="宋体" w:cs="宋体"/>
              </w:rPr>
              <w:t>10</w:t>
            </w:r>
            <w:r>
              <w:rPr>
                <w:rFonts w:hint="eastAsia" w:ascii="宋体" w:hAnsi="宋体" w:cs="宋体"/>
              </w:rPr>
              <w:t>分</w:t>
            </w:r>
          </w:p>
        </w:tc>
      </w:tr>
      <w:tr w14:paraId="617C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668" w:type="dxa"/>
            <w:vMerge w:val="continue"/>
            <w:noWrap w:val="0"/>
            <w:vAlign w:val="center"/>
          </w:tcPr>
          <w:p w14:paraId="12FA205A">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414DEDE9">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经查实的投诉举报，属物业企业责任且又不认真整改，投诉人不满意的</w:t>
            </w:r>
          </w:p>
        </w:tc>
        <w:tc>
          <w:tcPr>
            <w:tcW w:w="2885" w:type="dxa"/>
            <w:noWrap w:val="0"/>
            <w:vAlign w:val="center"/>
          </w:tcPr>
          <w:p w14:paraId="699AC685">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每发生一件扣2分</w:t>
            </w:r>
          </w:p>
        </w:tc>
      </w:tr>
      <w:tr w14:paraId="1EB3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68" w:type="dxa"/>
            <w:vMerge w:val="continue"/>
            <w:noWrap w:val="0"/>
            <w:vAlign w:val="center"/>
          </w:tcPr>
          <w:p w14:paraId="7DB6C5A8">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569E5247">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宋体" w:hAnsi="宋体" w:cs="宋体"/>
              </w:rPr>
            </w:pPr>
            <w:r>
              <w:rPr>
                <w:rFonts w:hint="eastAsia" w:ascii="宋体" w:hAnsi="宋体" w:cs="宋体"/>
              </w:rPr>
              <w:t>项目负责人不到社区报到的，不积极参与社区治理工作的</w:t>
            </w:r>
          </w:p>
        </w:tc>
        <w:tc>
          <w:tcPr>
            <w:tcW w:w="2885" w:type="dxa"/>
            <w:noWrap w:val="0"/>
            <w:vAlign w:val="center"/>
          </w:tcPr>
          <w:p w14:paraId="3580C449">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宋体" w:hAnsi="宋体" w:cs="宋体"/>
              </w:rPr>
            </w:pPr>
            <w:r>
              <w:rPr>
                <w:rFonts w:hint="eastAsia" w:ascii="宋体" w:hAnsi="宋体" w:cs="宋体"/>
              </w:rPr>
              <w:t>每件扣5分</w:t>
            </w:r>
          </w:p>
        </w:tc>
      </w:tr>
      <w:tr w14:paraId="6D7E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668" w:type="dxa"/>
            <w:vMerge w:val="restart"/>
            <w:noWrap w:val="0"/>
            <w:vAlign w:val="center"/>
          </w:tcPr>
          <w:p w14:paraId="219F01AA">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r>
              <w:rPr>
                <w:rFonts w:hint="eastAsia" w:ascii="宋体" w:hAnsi="宋体" w:cs="宋体"/>
                <w:b/>
                <w:bCs/>
              </w:rPr>
              <w:t>严重不良信息</w:t>
            </w:r>
          </w:p>
        </w:tc>
        <w:tc>
          <w:tcPr>
            <w:tcW w:w="3969" w:type="dxa"/>
            <w:gridSpan w:val="3"/>
            <w:noWrap w:val="0"/>
            <w:vAlign w:val="top"/>
          </w:tcPr>
          <w:p w14:paraId="5B0C4183">
            <w:pPr>
              <w:keepNext w:val="0"/>
              <w:keepLines w:val="0"/>
              <w:pageBreakBefore w:val="0"/>
              <w:kinsoku/>
              <w:wordWrap/>
              <w:overflowPunct/>
              <w:topLinePunct w:val="0"/>
              <w:autoSpaceDE/>
              <w:autoSpaceDN/>
              <w:bidi w:val="0"/>
              <w:adjustRightInd/>
              <w:snapToGrid/>
              <w:spacing w:line="576" w:lineRule="exact"/>
              <w:jc w:val="left"/>
              <w:textAlignment w:val="auto"/>
              <w:rPr>
                <w:rFonts w:ascii="宋体" w:cs="Times New Roman"/>
              </w:rPr>
            </w:pPr>
            <w:r>
              <w:rPr>
                <w:rFonts w:hint="eastAsia" w:ascii="宋体" w:hAnsi="宋体" w:cs="宋体"/>
              </w:rPr>
              <w:t>企业或企业主要负责人（董事长、总经理、法定代表人等）通过人民法院司法程序认定，被列入失信被执行人名单的</w:t>
            </w:r>
          </w:p>
        </w:tc>
        <w:tc>
          <w:tcPr>
            <w:tcW w:w="2885" w:type="dxa"/>
            <w:vMerge w:val="restart"/>
            <w:noWrap w:val="0"/>
            <w:vAlign w:val="center"/>
          </w:tcPr>
          <w:p w14:paraId="501ED3B0">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宋体" w:hAnsi="宋体" w:cs="宋体"/>
              </w:rPr>
            </w:pPr>
            <w:r>
              <w:rPr>
                <w:rFonts w:hint="eastAsia" w:ascii="宋体" w:hAnsi="宋体" w:cs="宋体"/>
              </w:rPr>
              <w:t>列入黑名单，信用</w:t>
            </w:r>
          </w:p>
          <w:p w14:paraId="6AAD722E">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宋体" w:hAnsi="宋体" w:cs="宋体"/>
              </w:rPr>
            </w:pPr>
            <w:r>
              <w:rPr>
                <w:rFonts w:hint="eastAsia" w:ascii="宋体" w:hAnsi="宋体" w:cs="宋体"/>
              </w:rPr>
              <w:t>等级评定为</w:t>
            </w:r>
            <w:r>
              <w:rPr>
                <w:rFonts w:ascii="宋体" w:hAnsi="宋体" w:cs="宋体"/>
              </w:rPr>
              <w:t>D</w:t>
            </w:r>
            <w:r>
              <w:rPr>
                <w:rFonts w:hint="eastAsia" w:ascii="宋体" w:hAnsi="宋体" w:cs="宋体"/>
              </w:rPr>
              <w:t>级</w:t>
            </w:r>
          </w:p>
        </w:tc>
      </w:tr>
      <w:tr w14:paraId="4360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noWrap w:val="0"/>
            <w:vAlign w:val="center"/>
          </w:tcPr>
          <w:p w14:paraId="549E7E94">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top"/>
          </w:tcPr>
          <w:p w14:paraId="44D44A69">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经司法机关或行政机关确认由物业服务企业承担主要责任或全部责任的较大以上安全事故的</w:t>
            </w:r>
          </w:p>
        </w:tc>
        <w:tc>
          <w:tcPr>
            <w:tcW w:w="2885" w:type="dxa"/>
            <w:vMerge w:val="continue"/>
            <w:noWrap w:val="0"/>
            <w:vAlign w:val="top"/>
          </w:tcPr>
          <w:p w14:paraId="1AA1D8B1">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p>
        </w:tc>
      </w:tr>
      <w:tr w14:paraId="419E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668" w:type="dxa"/>
            <w:vMerge w:val="continue"/>
            <w:noWrap w:val="0"/>
            <w:vAlign w:val="center"/>
          </w:tcPr>
          <w:p w14:paraId="263047C9">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6506A895">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因物业企业过错引发重大群体上访或越级上访事件，影响社会稳定，造成严重不良后果的</w:t>
            </w:r>
          </w:p>
        </w:tc>
        <w:tc>
          <w:tcPr>
            <w:tcW w:w="2885" w:type="dxa"/>
            <w:vMerge w:val="continue"/>
            <w:noWrap w:val="0"/>
            <w:vAlign w:val="top"/>
          </w:tcPr>
          <w:p w14:paraId="2A8C882A">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p>
        </w:tc>
      </w:tr>
      <w:tr w14:paraId="2EAC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668" w:type="dxa"/>
            <w:vMerge w:val="continue"/>
            <w:noWrap w:val="0"/>
            <w:vAlign w:val="center"/>
          </w:tcPr>
          <w:p w14:paraId="47431CE1">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1DC2CD5A">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因物业服务企业责任被媒体公开曝光在社会上造成恶劣影响的</w:t>
            </w:r>
          </w:p>
        </w:tc>
        <w:tc>
          <w:tcPr>
            <w:tcW w:w="2885" w:type="dxa"/>
            <w:vMerge w:val="continue"/>
            <w:noWrap w:val="0"/>
            <w:vAlign w:val="top"/>
          </w:tcPr>
          <w:p w14:paraId="318C6479">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p>
        </w:tc>
      </w:tr>
      <w:tr w14:paraId="3B27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668" w:type="dxa"/>
            <w:vMerge w:val="continue"/>
            <w:noWrap w:val="0"/>
            <w:vAlign w:val="center"/>
          </w:tcPr>
          <w:p w14:paraId="0F38592B">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701120E4">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挪用、骗取、套用住宅专项维修资金的</w:t>
            </w:r>
          </w:p>
        </w:tc>
        <w:tc>
          <w:tcPr>
            <w:tcW w:w="2885" w:type="dxa"/>
            <w:vMerge w:val="continue"/>
            <w:noWrap w:val="0"/>
            <w:vAlign w:val="top"/>
          </w:tcPr>
          <w:p w14:paraId="047D8B5E">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p>
        </w:tc>
      </w:tr>
      <w:tr w14:paraId="7A33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1668" w:type="dxa"/>
            <w:vMerge w:val="continue"/>
            <w:noWrap w:val="0"/>
            <w:vAlign w:val="center"/>
          </w:tcPr>
          <w:p w14:paraId="2F790931">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6CC783FE">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物业服务企业在物业服务活动中承担主要责任的生效判决或裁决、被各级物业及其他行政主管部门行政处罚、公开通报等拒不执行、拒绝整改的</w:t>
            </w:r>
          </w:p>
        </w:tc>
        <w:tc>
          <w:tcPr>
            <w:tcW w:w="2885" w:type="dxa"/>
            <w:vMerge w:val="continue"/>
            <w:noWrap w:val="0"/>
            <w:vAlign w:val="top"/>
          </w:tcPr>
          <w:p w14:paraId="2A6AA5EC">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p>
        </w:tc>
      </w:tr>
      <w:tr w14:paraId="7C4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668" w:type="dxa"/>
            <w:vMerge w:val="continue"/>
            <w:noWrap w:val="0"/>
            <w:vAlign w:val="center"/>
          </w:tcPr>
          <w:p w14:paraId="5A9427C6">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175FBB10">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未向主管部门申报企业信息，已从事物业服务活动且未向项目辖区物业主管部门办理备案，经督促仍未备案的</w:t>
            </w:r>
          </w:p>
        </w:tc>
        <w:tc>
          <w:tcPr>
            <w:tcW w:w="2885" w:type="dxa"/>
            <w:vMerge w:val="continue"/>
            <w:noWrap w:val="0"/>
            <w:vAlign w:val="top"/>
          </w:tcPr>
          <w:p w14:paraId="69036762">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p>
        </w:tc>
      </w:tr>
      <w:tr w14:paraId="08FD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668" w:type="dxa"/>
            <w:vMerge w:val="continue"/>
            <w:noWrap w:val="0"/>
            <w:vAlign w:val="center"/>
          </w:tcPr>
          <w:p w14:paraId="223B6A7D">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1ED159FA">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物业服务合同未到期擅自撤出物业服务项目，拒不整改的；物业服务合同到期，经业主大会表决不再续聘，拒不撤出物业服务项目的</w:t>
            </w:r>
          </w:p>
        </w:tc>
        <w:tc>
          <w:tcPr>
            <w:tcW w:w="2885" w:type="dxa"/>
            <w:vMerge w:val="continue"/>
            <w:noWrap w:val="0"/>
            <w:vAlign w:val="top"/>
          </w:tcPr>
          <w:p w14:paraId="2B915968">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p>
        </w:tc>
      </w:tr>
      <w:tr w14:paraId="6E06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1668" w:type="dxa"/>
            <w:vMerge w:val="continue"/>
            <w:noWrap w:val="0"/>
            <w:vAlign w:val="center"/>
          </w:tcPr>
          <w:p w14:paraId="2ED63B47">
            <w:pPr>
              <w:keepNext w:val="0"/>
              <w:keepLines w:val="0"/>
              <w:pageBreakBefore w:val="0"/>
              <w:kinsoku/>
              <w:wordWrap/>
              <w:overflowPunct/>
              <w:topLinePunct w:val="0"/>
              <w:autoSpaceDE/>
              <w:autoSpaceDN/>
              <w:bidi w:val="0"/>
              <w:adjustRightInd/>
              <w:snapToGrid/>
              <w:spacing w:line="576" w:lineRule="exact"/>
              <w:jc w:val="center"/>
              <w:textAlignment w:val="auto"/>
              <w:rPr>
                <w:rFonts w:ascii="宋体" w:cs="Times New Roman"/>
                <w:b/>
                <w:bCs/>
              </w:rPr>
            </w:pPr>
          </w:p>
        </w:tc>
        <w:tc>
          <w:tcPr>
            <w:tcW w:w="3969" w:type="dxa"/>
            <w:gridSpan w:val="3"/>
            <w:noWrap w:val="0"/>
            <w:vAlign w:val="center"/>
          </w:tcPr>
          <w:p w14:paraId="026746A9">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r>
              <w:rPr>
                <w:rFonts w:hint="eastAsia" w:ascii="宋体" w:hAnsi="宋体" w:cs="宋体"/>
              </w:rPr>
              <w:t>其他严重不良行为</w:t>
            </w:r>
          </w:p>
        </w:tc>
        <w:tc>
          <w:tcPr>
            <w:tcW w:w="2885" w:type="dxa"/>
            <w:vMerge w:val="continue"/>
            <w:noWrap w:val="0"/>
            <w:vAlign w:val="top"/>
          </w:tcPr>
          <w:p w14:paraId="3E47D37F">
            <w:pPr>
              <w:keepNext w:val="0"/>
              <w:keepLines w:val="0"/>
              <w:pageBreakBefore w:val="0"/>
              <w:kinsoku/>
              <w:wordWrap/>
              <w:overflowPunct/>
              <w:topLinePunct w:val="0"/>
              <w:autoSpaceDE/>
              <w:autoSpaceDN/>
              <w:bidi w:val="0"/>
              <w:adjustRightInd/>
              <w:snapToGrid/>
              <w:spacing w:line="576" w:lineRule="exact"/>
              <w:textAlignment w:val="auto"/>
              <w:rPr>
                <w:rFonts w:ascii="宋体" w:cs="Times New Roman"/>
              </w:rPr>
            </w:pPr>
          </w:p>
        </w:tc>
      </w:tr>
    </w:tbl>
    <w:p w14:paraId="5C29F1EE">
      <w:pPr>
        <w:keepNext w:val="0"/>
        <w:keepLines w:val="0"/>
        <w:pageBreakBefore w:val="0"/>
        <w:kinsoku/>
        <w:wordWrap/>
        <w:overflowPunct/>
        <w:topLinePunct w:val="0"/>
        <w:autoSpaceDE/>
        <w:autoSpaceDN/>
        <w:bidi w:val="0"/>
        <w:adjustRightInd/>
        <w:snapToGrid/>
        <w:spacing w:line="576"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Nimbus Roman No9 L">
    <w:altName w:val="yyb"/>
    <w:panose1 w:val="00000000000000000000"/>
    <w:charset w:val="00"/>
    <w:family w:val="auto"/>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35BA4"/>
    <w:rsid w:val="0B9F134D"/>
    <w:rsid w:val="14DE18E1"/>
    <w:rsid w:val="1DED788A"/>
    <w:rsid w:val="1FB744C7"/>
    <w:rsid w:val="2BD3A12E"/>
    <w:rsid w:val="2BFE6C70"/>
    <w:rsid w:val="2FC7D9E8"/>
    <w:rsid w:val="32CFBCE6"/>
    <w:rsid w:val="367F550F"/>
    <w:rsid w:val="38E4BBEA"/>
    <w:rsid w:val="39FCB4A3"/>
    <w:rsid w:val="3EAB0813"/>
    <w:rsid w:val="3EC5F65D"/>
    <w:rsid w:val="3EF68F0D"/>
    <w:rsid w:val="3EFF3C07"/>
    <w:rsid w:val="3F1F7DBD"/>
    <w:rsid w:val="3F5BD8AB"/>
    <w:rsid w:val="3F7BA5C5"/>
    <w:rsid w:val="417F93C4"/>
    <w:rsid w:val="476DA6E5"/>
    <w:rsid w:val="4CC10656"/>
    <w:rsid w:val="4DFEE959"/>
    <w:rsid w:val="4E6DC25C"/>
    <w:rsid w:val="53FD5725"/>
    <w:rsid w:val="5B7D0F55"/>
    <w:rsid w:val="5EDB14D4"/>
    <w:rsid w:val="5FD95319"/>
    <w:rsid w:val="5FF329DF"/>
    <w:rsid w:val="63BF27B8"/>
    <w:rsid w:val="63FF6BD5"/>
    <w:rsid w:val="63FF8464"/>
    <w:rsid w:val="66F308DB"/>
    <w:rsid w:val="6AED6C84"/>
    <w:rsid w:val="6BF269DB"/>
    <w:rsid w:val="6DFF7A4B"/>
    <w:rsid w:val="6FDF023B"/>
    <w:rsid w:val="6FFF25A2"/>
    <w:rsid w:val="75AE10D6"/>
    <w:rsid w:val="75DF5D6D"/>
    <w:rsid w:val="75F79266"/>
    <w:rsid w:val="75FE7703"/>
    <w:rsid w:val="767F76F5"/>
    <w:rsid w:val="777F1F98"/>
    <w:rsid w:val="779C230C"/>
    <w:rsid w:val="77DFC424"/>
    <w:rsid w:val="77EFEE16"/>
    <w:rsid w:val="7AA7D9DF"/>
    <w:rsid w:val="7AB7B2A6"/>
    <w:rsid w:val="7BAE6C02"/>
    <w:rsid w:val="7BBF2E54"/>
    <w:rsid w:val="7D6E0FCB"/>
    <w:rsid w:val="7DDF421A"/>
    <w:rsid w:val="7E5ADF0A"/>
    <w:rsid w:val="7EDB0D9E"/>
    <w:rsid w:val="7EEF3998"/>
    <w:rsid w:val="7EFB3B26"/>
    <w:rsid w:val="7EFFC08E"/>
    <w:rsid w:val="7F0F45EF"/>
    <w:rsid w:val="7F3D60F9"/>
    <w:rsid w:val="7F74236B"/>
    <w:rsid w:val="7F7FCF4E"/>
    <w:rsid w:val="7F9B9F0A"/>
    <w:rsid w:val="7F9F1963"/>
    <w:rsid w:val="7FDBEFE4"/>
    <w:rsid w:val="7FDF8235"/>
    <w:rsid w:val="7FE7E4E7"/>
    <w:rsid w:val="7FE909ED"/>
    <w:rsid w:val="7FEF11EB"/>
    <w:rsid w:val="7FF3D8A4"/>
    <w:rsid w:val="7FFAD284"/>
    <w:rsid w:val="7FFD34A1"/>
    <w:rsid w:val="7FFD64C1"/>
    <w:rsid w:val="87BD87F0"/>
    <w:rsid w:val="87FB185A"/>
    <w:rsid w:val="8CDF05F6"/>
    <w:rsid w:val="8FFD8693"/>
    <w:rsid w:val="9BF56CD2"/>
    <w:rsid w:val="9DF91A08"/>
    <w:rsid w:val="A3BF8882"/>
    <w:rsid w:val="A7FC8EB5"/>
    <w:rsid w:val="AFB51FCE"/>
    <w:rsid w:val="AFFF0014"/>
    <w:rsid w:val="B7D5660A"/>
    <w:rsid w:val="BB754DE0"/>
    <w:rsid w:val="BB9B09EA"/>
    <w:rsid w:val="BBFF852A"/>
    <w:rsid w:val="BDE77A7E"/>
    <w:rsid w:val="BF53842E"/>
    <w:rsid w:val="BFDA65E2"/>
    <w:rsid w:val="BFE79FE9"/>
    <w:rsid w:val="C5D7BAEF"/>
    <w:rsid w:val="C7EF6B2F"/>
    <w:rsid w:val="C9F98630"/>
    <w:rsid w:val="CDF7502D"/>
    <w:rsid w:val="CF0D453F"/>
    <w:rsid w:val="D27669BB"/>
    <w:rsid w:val="D653DE8E"/>
    <w:rsid w:val="D6FF194F"/>
    <w:rsid w:val="D9D26F14"/>
    <w:rsid w:val="DB7F2F2E"/>
    <w:rsid w:val="DF5F9496"/>
    <w:rsid w:val="DFBBC2ED"/>
    <w:rsid w:val="DFF3EC80"/>
    <w:rsid w:val="DFF63B4C"/>
    <w:rsid w:val="DFFE8974"/>
    <w:rsid w:val="E77FF023"/>
    <w:rsid w:val="EED0724B"/>
    <w:rsid w:val="EF1682F6"/>
    <w:rsid w:val="EFEAD532"/>
    <w:rsid w:val="EFF72455"/>
    <w:rsid w:val="EFFF8B00"/>
    <w:rsid w:val="EFFFC278"/>
    <w:rsid w:val="F1BFDA88"/>
    <w:rsid w:val="F2D7E43D"/>
    <w:rsid w:val="F35E223F"/>
    <w:rsid w:val="F3FC3A30"/>
    <w:rsid w:val="F57D9992"/>
    <w:rsid w:val="F57F341A"/>
    <w:rsid w:val="F6C5627A"/>
    <w:rsid w:val="F7B504D0"/>
    <w:rsid w:val="F7EE664B"/>
    <w:rsid w:val="F7FCEB13"/>
    <w:rsid w:val="F8BF0968"/>
    <w:rsid w:val="F8FC8393"/>
    <w:rsid w:val="FAE33529"/>
    <w:rsid w:val="FAF7BD81"/>
    <w:rsid w:val="FBCEBD0A"/>
    <w:rsid w:val="FBFDDD5A"/>
    <w:rsid w:val="FD6CC38E"/>
    <w:rsid w:val="FD8F580B"/>
    <w:rsid w:val="FDBBDAD5"/>
    <w:rsid w:val="FDFA7964"/>
    <w:rsid w:val="FDFED729"/>
    <w:rsid w:val="FEFF3E1F"/>
    <w:rsid w:val="FF64AD9B"/>
    <w:rsid w:val="FF7EF834"/>
    <w:rsid w:val="FF7F980F"/>
    <w:rsid w:val="FFBB965B"/>
    <w:rsid w:val="FFEDD690"/>
    <w:rsid w:val="FFF79D3B"/>
    <w:rsid w:val="FFFA0F3A"/>
    <w:rsid w:val="FFFF90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4150</Words>
  <Characters>4190</Characters>
  <Lines>0</Lines>
  <Paragraphs>0</Paragraphs>
  <TotalTime>12</TotalTime>
  <ScaleCrop>false</ScaleCrop>
  <LinksUpToDate>false</LinksUpToDate>
  <CharactersWithSpaces>4356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(づ ●─● )づ</cp:lastModifiedBy>
  <dcterms:modified xsi:type="dcterms:W3CDTF">2026-04-12T12:54:22Z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8521F520AD9F4D3FAE82A5C25B87F38B</vt:lpwstr>
  </property>
  <property fmtid="{D5CDD505-2E9C-101B-9397-08002B2CF9AE}" pid="4" name="KSOTemplateDocerSaveRecord">
    <vt:lpwstr>eyJoZGlkIjoiZTgyNmFmNzNmNmI2NGQ3YmE0YmRlNTY0MDRjYzU0ODkiLCJ1c2VySWQiOiI0MTA3Nzg2MzcifQ==</vt:lpwstr>
  </property>
</Properties>
</file>