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480" w:lineRule="auto"/>
        <w:jc w:val="center"/>
        <w:rPr>
          <w:sz w:val="24"/>
          <w:szCs w:val="24"/>
        </w:rPr>
      </w:pPr>
      <w:r>
        <w:rPr>
          <w:rStyle w:val="6"/>
          <w:sz w:val="36"/>
          <w:szCs w:val="36"/>
        </w:rPr>
        <w:t>工商总局关于调整工商登记前置审批事项目录的通知</w:t>
      </w:r>
    </w:p>
    <w:p>
      <w:pPr>
        <w:pStyle w:val="4"/>
        <w:keepNext w:val="0"/>
        <w:keepLines w:val="0"/>
        <w:widowControl/>
        <w:suppressLineNumbers w:val="0"/>
        <w:spacing w:line="480" w:lineRule="auto"/>
        <w:jc w:val="center"/>
        <w:rPr>
          <w:sz w:val="24"/>
          <w:szCs w:val="24"/>
        </w:rPr>
      </w:pPr>
      <w:r>
        <w:rPr>
          <w:sz w:val="24"/>
          <w:szCs w:val="24"/>
        </w:rPr>
        <w:t>　</w:t>
      </w:r>
      <w:r>
        <w:rPr>
          <w:rFonts w:ascii="楷体" w:hAnsi="楷体" w:eastAsia="楷体" w:cs="楷体"/>
          <w:sz w:val="24"/>
          <w:szCs w:val="24"/>
        </w:rPr>
        <w:t>　工商企注字﹝2017﹞77号</w:t>
      </w:r>
    </w:p>
    <w:p>
      <w:pPr>
        <w:pStyle w:val="4"/>
        <w:keepNext w:val="0"/>
        <w:keepLines w:val="0"/>
        <w:widowControl/>
        <w:suppressLineNumbers w:val="0"/>
        <w:spacing w:line="480" w:lineRule="auto"/>
        <w:jc w:val="both"/>
        <w:rPr>
          <w:sz w:val="24"/>
          <w:szCs w:val="24"/>
        </w:rPr>
      </w:pPr>
      <w:r>
        <w:rPr>
          <w:sz w:val="24"/>
          <w:szCs w:val="24"/>
        </w:rPr>
        <w:t>各省、自治区、直辖市及计划单列市、副省级市工商行政管理局、市场监督管理部门：</w:t>
      </w:r>
    </w:p>
    <w:p>
      <w:pPr>
        <w:pStyle w:val="4"/>
        <w:keepNext w:val="0"/>
        <w:keepLines w:val="0"/>
        <w:widowControl/>
        <w:suppressLineNumbers w:val="0"/>
        <w:spacing w:line="480" w:lineRule="auto"/>
        <w:jc w:val="both"/>
        <w:rPr>
          <w:sz w:val="24"/>
          <w:szCs w:val="24"/>
        </w:rPr>
      </w:pPr>
      <w:r>
        <w:rPr>
          <w:sz w:val="24"/>
          <w:szCs w:val="24"/>
        </w:rPr>
        <w:t>　　2017年5月7日，国务院印发了《关于进一步削减工商登记前置审批事项的决定》（国发〔2017〕32号），决定进一步削减工商登记前置审批事项，将5项工商登记前置审批事项改为后置审批。建议将1项依据有关法律设立的工商登记前置审批事项改为后置审批，国务院将依照法定程序提请全国人民代表大会常务委员会修订相关法律规定。据此，总局对《工商总局关于严格落实先照后证改革严格执行工商登记前置审批事项的通知》（工商企注字〔2015〕65号）附件《工商登记前置审批事项目录》再次进行了调整，现予公布。请遵照执行。</w:t>
      </w:r>
    </w:p>
    <w:p>
      <w:pPr>
        <w:pStyle w:val="4"/>
        <w:keepNext w:val="0"/>
        <w:keepLines w:val="0"/>
        <w:widowControl/>
        <w:suppressLineNumbers w:val="0"/>
        <w:spacing w:line="480" w:lineRule="auto"/>
        <w:jc w:val="both"/>
        <w:rPr>
          <w:sz w:val="24"/>
          <w:szCs w:val="24"/>
        </w:rPr>
      </w:pPr>
      <w:r>
        <w:rPr>
          <w:sz w:val="24"/>
          <w:szCs w:val="24"/>
        </w:rPr>
        <w:t>　　</w:t>
      </w:r>
    </w:p>
    <w:p>
      <w:pPr>
        <w:pStyle w:val="4"/>
        <w:keepNext w:val="0"/>
        <w:keepLines w:val="0"/>
        <w:widowControl/>
        <w:suppressLineNumbers w:val="0"/>
        <w:spacing w:line="480" w:lineRule="auto"/>
        <w:jc w:val="both"/>
        <w:rPr>
          <w:sz w:val="24"/>
          <w:szCs w:val="24"/>
        </w:rPr>
      </w:pPr>
      <w:r>
        <w:rPr>
          <w:sz w:val="24"/>
          <w:szCs w:val="24"/>
        </w:rPr>
        <w:t>    附件：1.工商登记前置审批事项目录（2017年5月）</w:t>
      </w:r>
    </w:p>
    <w:p>
      <w:pPr>
        <w:pStyle w:val="4"/>
        <w:keepNext w:val="0"/>
        <w:keepLines w:val="0"/>
        <w:widowControl/>
        <w:suppressLineNumbers w:val="0"/>
        <w:spacing w:line="480" w:lineRule="auto"/>
        <w:jc w:val="both"/>
        <w:rPr>
          <w:sz w:val="24"/>
          <w:szCs w:val="24"/>
        </w:rPr>
      </w:pPr>
      <w:r>
        <w:rPr>
          <w:sz w:val="24"/>
          <w:szCs w:val="24"/>
        </w:rPr>
        <w:t>　　      2.企业变更登记、注销登记前置审批指导目录（2017年5月）</w:t>
      </w:r>
    </w:p>
    <w:p>
      <w:pPr>
        <w:pStyle w:val="4"/>
        <w:keepNext w:val="0"/>
        <w:keepLines w:val="0"/>
        <w:widowControl/>
        <w:suppressLineNumbers w:val="0"/>
        <w:spacing w:line="480" w:lineRule="auto"/>
        <w:jc w:val="right"/>
        <w:rPr>
          <w:sz w:val="24"/>
          <w:szCs w:val="24"/>
        </w:rPr>
      </w:pPr>
      <w:r>
        <w:rPr>
          <w:sz w:val="24"/>
          <w:szCs w:val="24"/>
        </w:rPr>
        <w:t>工商总局</w:t>
      </w:r>
    </w:p>
    <w:p>
      <w:pPr>
        <w:pStyle w:val="4"/>
        <w:keepNext w:val="0"/>
        <w:keepLines w:val="0"/>
        <w:widowControl/>
        <w:suppressLineNumbers w:val="0"/>
        <w:spacing w:line="480" w:lineRule="auto"/>
        <w:jc w:val="right"/>
        <w:rPr>
          <w:sz w:val="24"/>
          <w:szCs w:val="24"/>
        </w:rPr>
      </w:pPr>
      <w:r>
        <w:rPr>
          <w:rFonts w:ascii="仿宋_GB2312" w:eastAsia="仿宋_GB2312" w:cs="仿宋_GB2312"/>
          <w:sz w:val="24"/>
          <w:szCs w:val="24"/>
        </w:rPr>
        <w:t>2017年5月16日</w:t>
      </w:r>
    </w:p>
    <w:p>
      <w:pPr>
        <w:sectPr>
          <w:pgSz w:w="11906" w:h="16838"/>
          <w:pgMar w:top="1440" w:right="1800" w:bottom="1440" w:left="1800" w:header="851" w:footer="992" w:gutter="0"/>
          <w:cols w:space="425" w:num="1"/>
          <w:docGrid w:type="lines" w:linePitch="312" w:charSpace="0"/>
        </w:sectPr>
      </w:pPr>
    </w:p>
    <w:p>
      <w:pPr>
        <w:widowControl/>
        <w:spacing w:before="100" w:beforeAutospacing="1" w:after="100" w:afterAutospacing="1" w:line="480" w:lineRule="exact"/>
        <w:rPr>
          <w:rFonts w:hint="eastAsia" w:ascii="黑体" w:hAnsi="宋体" w:eastAsia="黑体" w:cs="宋体"/>
          <w:bCs/>
          <w:kern w:val="0"/>
          <w:sz w:val="32"/>
          <w:szCs w:val="32"/>
        </w:rPr>
      </w:pPr>
      <w:r>
        <w:rPr>
          <w:rFonts w:hint="eastAsia" w:ascii="黑体" w:hAnsi="宋体" w:eastAsia="黑体" w:cs="宋体"/>
          <w:bCs/>
          <w:kern w:val="0"/>
          <w:sz w:val="32"/>
          <w:szCs w:val="32"/>
        </w:rPr>
        <w:t>附件1</w:t>
      </w:r>
    </w:p>
    <w:p>
      <w:pPr>
        <w:widowControl/>
        <w:spacing w:line="48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工商登记前置审批事项目录</w:t>
      </w:r>
    </w:p>
    <w:p>
      <w:pPr>
        <w:spacing w:line="480" w:lineRule="exact"/>
        <w:jc w:val="center"/>
        <w:rPr>
          <w:rFonts w:hint="eastAsia" w:ascii="方正小标宋简体" w:hAnsi="宋体" w:eastAsia="方正小标宋简体" w:cs="宋体"/>
          <w:bCs/>
          <w:kern w:val="0"/>
          <w:sz w:val="36"/>
          <w:szCs w:val="36"/>
        </w:rPr>
      </w:pPr>
      <w:r>
        <w:rPr>
          <w:rFonts w:hint="eastAsia" w:hAnsi="仿宋_GB2312"/>
        </w:rPr>
        <w:t>（2017年5月）</w:t>
      </w:r>
    </w:p>
    <w:tbl>
      <w:tblPr>
        <w:tblStyle w:val="7"/>
        <w:tblW w:w="98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598"/>
        <w:gridCol w:w="663"/>
        <w:gridCol w:w="3520"/>
        <w:gridCol w:w="1920"/>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23" w:hRule="atLeast"/>
          <w:tblHeader/>
          <w:jc w:val="center"/>
        </w:trPr>
        <w:tc>
          <w:tcPr>
            <w:tcW w:w="598" w:type="dxa"/>
            <w:vAlign w:val="top"/>
          </w:tcPr>
          <w:p>
            <w:pPr>
              <w:pStyle w:val="8"/>
              <w:adjustRightInd w:val="0"/>
              <w:snapToGrid w:val="0"/>
              <w:spacing w:line="360" w:lineRule="exact"/>
              <w:jc w:val="center"/>
              <w:rPr>
                <w:rFonts w:hint="eastAsia" w:ascii="宋体" w:hAnsi="宋体" w:cs="宋体"/>
                <w:b/>
                <w:kern w:val="0"/>
                <w:sz w:val="20"/>
                <w:szCs w:val="20"/>
              </w:rPr>
            </w:pPr>
          </w:p>
        </w:tc>
        <w:tc>
          <w:tcPr>
            <w:tcW w:w="663" w:type="dxa"/>
            <w:vAlign w:val="center"/>
          </w:tcPr>
          <w:p>
            <w:pPr>
              <w:pStyle w:val="8"/>
              <w:adjustRightInd w:val="0"/>
              <w:snapToGrid w:val="0"/>
              <w:spacing w:line="360" w:lineRule="exact"/>
              <w:jc w:val="center"/>
              <w:rPr>
                <w:rFonts w:ascii="宋体" w:hAnsi="宋体" w:cs="宋体"/>
                <w:b/>
                <w:kern w:val="0"/>
                <w:sz w:val="20"/>
                <w:szCs w:val="20"/>
              </w:rPr>
            </w:pPr>
            <w:r>
              <w:rPr>
                <w:rFonts w:hint="eastAsia" w:ascii="宋体" w:hAnsi="宋体" w:cs="宋体"/>
                <w:b/>
                <w:kern w:val="0"/>
                <w:sz w:val="20"/>
                <w:szCs w:val="20"/>
              </w:rPr>
              <w:t>序号</w:t>
            </w:r>
          </w:p>
        </w:tc>
        <w:tc>
          <w:tcPr>
            <w:tcW w:w="3520" w:type="dxa"/>
            <w:vAlign w:val="center"/>
          </w:tcPr>
          <w:p>
            <w:pPr>
              <w:pStyle w:val="8"/>
              <w:adjustRightInd w:val="0"/>
              <w:snapToGrid w:val="0"/>
              <w:spacing w:line="340" w:lineRule="exact"/>
              <w:jc w:val="center"/>
              <w:rPr>
                <w:rFonts w:ascii="宋体" w:hAnsi="宋体" w:cs="宋体"/>
                <w:b/>
                <w:kern w:val="0"/>
                <w:sz w:val="20"/>
                <w:szCs w:val="20"/>
              </w:rPr>
            </w:pPr>
            <w:r>
              <w:rPr>
                <w:rFonts w:hint="eastAsia" w:ascii="宋体" w:hAnsi="宋体" w:cs="宋体"/>
                <w:b/>
                <w:kern w:val="0"/>
                <w:sz w:val="20"/>
                <w:szCs w:val="20"/>
              </w:rPr>
              <w:t>项目名称</w:t>
            </w:r>
          </w:p>
        </w:tc>
        <w:tc>
          <w:tcPr>
            <w:tcW w:w="1920" w:type="dxa"/>
            <w:vAlign w:val="center"/>
          </w:tcPr>
          <w:p>
            <w:pPr>
              <w:pStyle w:val="8"/>
              <w:adjustRightInd w:val="0"/>
              <w:snapToGrid w:val="0"/>
              <w:spacing w:line="340" w:lineRule="exact"/>
              <w:jc w:val="center"/>
              <w:rPr>
                <w:rFonts w:ascii="宋体" w:hAnsi="宋体" w:cs="宋体"/>
                <w:b/>
                <w:kern w:val="0"/>
                <w:sz w:val="20"/>
                <w:szCs w:val="20"/>
              </w:rPr>
            </w:pPr>
            <w:r>
              <w:rPr>
                <w:rFonts w:hint="eastAsia" w:ascii="宋体" w:hAnsi="宋体" w:cs="宋体"/>
                <w:b/>
                <w:kern w:val="0"/>
                <w:sz w:val="20"/>
                <w:szCs w:val="20"/>
              </w:rPr>
              <w:t>实施机关</w:t>
            </w:r>
          </w:p>
        </w:tc>
        <w:tc>
          <w:tcPr>
            <w:tcW w:w="3167" w:type="dxa"/>
            <w:vAlign w:val="center"/>
          </w:tcPr>
          <w:p>
            <w:pPr>
              <w:pStyle w:val="8"/>
              <w:adjustRightInd w:val="0"/>
              <w:snapToGrid w:val="0"/>
              <w:spacing w:line="340" w:lineRule="exact"/>
              <w:jc w:val="center"/>
              <w:rPr>
                <w:rFonts w:ascii="宋体" w:hAnsi="宋体" w:cs="宋体"/>
                <w:b/>
                <w:kern w:val="0"/>
                <w:sz w:val="20"/>
                <w:szCs w:val="20"/>
              </w:rPr>
            </w:pPr>
            <w:r>
              <w:rPr>
                <w:rFonts w:hint="eastAsia" w:ascii="宋体" w:hAnsi="宋体" w:cs="宋体"/>
                <w:b/>
                <w:kern w:val="0"/>
                <w:sz w:val="20"/>
                <w:szCs w:val="20"/>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157" w:hRule="atLeast"/>
          <w:jc w:val="center"/>
        </w:trPr>
        <w:tc>
          <w:tcPr>
            <w:tcW w:w="598" w:type="dxa"/>
            <w:vMerge w:val="restart"/>
            <w:vAlign w:val="center"/>
          </w:tcPr>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法</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律</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明</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确</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的</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工</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商</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登</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记</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前</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置</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审</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批</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事</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项</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目</w:t>
            </w:r>
          </w:p>
          <w:p>
            <w:pPr>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录</w:t>
            </w:r>
          </w:p>
        </w:tc>
        <w:tc>
          <w:tcPr>
            <w:tcW w:w="663" w:type="dxa"/>
            <w:vAlign w:val="center"/>
          </w:tcPr>
          <w:p>
            <w:pPr>
              <w:spacing w:line="36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3520" w:type="dxa"/>
            <w:vAlign w:val="center"/>
          </w:tcPr>
          <w:p>
            <w:pPr>
              <w:adjustRightInd w:val="0"/>
              <w:snapToGrid w:val="0"/>
              <w:spacing w:line="340" w:lineRule="exact"/>
              <w:rPr>
                <w:rFonts w:hint="eastAsia" w:ascii="宋体" w:hAnsi="宋体" w:eastAsia="宋体" w:cs="宋体"/>
                <w:kern w:val="0"/>
                <w:sz w:val="20"/>
                <w:szCs w:val="20"/>
              </w:rPr>
            </w:pPr>
            <w:r>
              <w:rPr>
                <w:rFonts w:hint="eastAsia" w:ascii="宋体" w:hAnsi="宋体" w:eastAsia="宋体" w:cs="宋体"/>
                <w:kern w:val="0"/>
                <w:sz w:val="20"/>
                <w:szCs w:val="20"/>
              </w:rPr>
              <w:t>证券公司设立审批</w:t>
            </w:r>
          </w:p>
        </w:tc>
        <w:tc>
          <w:tcPr>
            <w:tcW w:w="1920" w:type="dxa"/>
            <w:vAlign w:val="center"/>
          </w:tcPr>
          <w:p>
            <w:pPr>
              <w:adjustRightInd w:val="0"/>
              <w:snapToGrid w:val="0"/>
              <w:spacing w:line="3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证监会</w:t>
            </w:r>
          </w:p>
        </w:tc>
        <w:tc>
          <w:tcPr>
            <w:tcW w:w="3167" w:type="dxa"/>
            <w:vAlign w:val="center"/>
          </w:tcPr>
          <w:p>
            <w:pPr>
              <w:adjustRightInd w:val="0"/>
              <w:snapToGrid w:val="0"/>
              <w:spacing w:line="3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643" w:hRule="atLeast"/>
          <w:jc w:val="center"/>
        </w:trPr>
        <w:tc>
          <w:tcPr>
            <w:tcW w:w="598" w:type="dxa"/>
            <w:vMerge w:val="continue"/>
            <w:vAlign w:val="top"/>
          </w:tcPr>
          <w:p>
            <w:pPr>
              <w:numPr>
                <w:ilvl w:val="0"/>
                <w:numId w:val="1"/>
              </w:numPr>
              <w:spacing w:line="360" w:lineRule="exact"/>
              <w:jc w:val="center"/>
              <w:rPr>
                <w:rFonts w:hint="eastAsia" w:ascii="宋体" w:hAnsi="宋体" w:eastAsia="宋体" w:cs="宋体"/>
                <w:kern w:val="0"/>
                <w:sz w:val="20"/>
                <w:szCs w:val="20"/>
              </w:rPr>
            </w:pPr>
          </w:p>
        </w:tc>
        <w:tc>
          <w:tcPr>
            <w:tcW w:w="663" w:type="dxa"/>
            <w:vAlign w:val="center"/>
          </w:tcPr>
          <w:p>
            <w:pPr>
              <w:spacing w:line="36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3520"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仿宋_GB2312"/>
                <w:sz w:val="20"/>
                <w:szCs w:val="20"/>
              </w:rPr>
              <w:t>烟草专卖生产企业许可证核发</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国家烟草专卖局</w:t>
            </w:r>
          </w:p>
        </w:tc>
        <w:tc>
          <w:tcPr>
            <w:tcW w:w="3167" w:type="dxa"/>
            <w:vAlign w:val="center"/>
          </w:tcPr>
          <w:p>
            <w:pPr>
              <w:adjustRightInd w:val="0"/>
              <w:snapToGrid w:val="0"/>
              <w:spacing w:line="340" w:lineRule="exact"/>
              <w:jc w:val="left"/>
              <w:rPr>
                <w:rFonts w:hint="eastAsia" w:ascii="宋体" w:hAnsi="宋体" w:eastAsia="宋体"/>
                <w:color w:val="000000"/>
                <w:sz w:val="20"/>
                <w:szCs w:val="20"/>
              </w:rPr>
            </w:pPr>
            <w:r>
              <w:rPr>
                <w:rFonts w:hint="eastAsia" w:ascii="宋体" w:hAnsi="宋体" w:eastAsia="宋体"/>
                <w:color w:val="000000"/>
                <w:sz w:val="20"/>
                <w:szCs w:val="20"/>
              </w:rPr>
              <w:t>《中华人民共和国烟草专卖法》</w:t>
            </w:r>
          </w:p>
          <w:p>
            <w:pPr>
              <w:adjustRightInd w:val="0"/>
              <w:snapToGrid w:val="0"/>
              <w:spacing w:line="340" w:lineRule="exact"/>
              <w:jc w:val="left"/>
              <w:rPr>
                <w:rFonts w:hint="eastAsia" w:ascii="宋体" w:hAnsi="宋体" w:eastAsia="宋体"/>
                <w:color w:val="000000"/>
                <w:sz w:val="20"/>
                <w:szCs w:val="20"/>
              </w:rPr>
            </w:pPr>
            <w:r>
              <w:rPr>
                <w:rFonts w:hint="eastAsia" w:ascii="宋体" w:hAnsi="宋体" w:eastAsia="宋体"/>
                <w:color w:val="000000"/>
                <w:sz w:val="20"/>
                <w:szCs w:val="20"/>
              </w:rPr>
              <w:t>《中华人民共和国烟草专卖法实施条例》（国务院令第223号）</w:t>
            </w:r>
            <w:r>
              <w:rPr>
                <w:rFonts w:ascii="宋体" w:hAnsi="宋体" w:eastAsia="宋体" w:cs="Calibri"/>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960" w:hRule="atLeast"/>
          <w:jc w:val="center"/>
        </w:trPr>
        <w:tc>
          <w:tcPr>
            <w:tcW w:w="598" w:type="dxa"/>
            <w:vMerge w:val="continue"/>
            <w:shd w:val="clear" w:color="auto" w:fill="auto"/>
            <w:vAlign w:val="top"/>
          </w:tcPr>
          <w:p>
            <w:pPr>
              <w:spacing w:line="360" w:lineRule="exact"/>
              <w:ind w:left="420"/>
              <w:rPr>
                <w:rFonts w:hint="eastAsia" w:ascii="宋体" w:hAnsi="宋体" w:eastAsia="宋体" w:cs="宋体"/>
                <w:kern w:val="0"/>
                <w:sz w:val="20"/>
                <w:szCs w:val="20"/>
              </w:rPr>
            </w:pPr>
          </w:p>
        </w:tc>
        <w:tc>
          <w:tcPr>
            <w:tcW w:w="663" w:type="dxa"/>
            <w:shd w:val="clear" w:color="auto" w:fill="auto"/>
            <w:vAlign w:val="center"/>
          </w:tcPr>
          <w:p>
            <w:pPr>
              <w:spacing w:line="360" w:lineRule="exact"/>
              <w:jc w:val="center"/>
              <w:rPr>
                <w:rFonts w:hint="eastAsia" w:ascii="宋体" w:hAnsi="宋体" w:eastAsia="宋体" w:cs="宋体"/>
                <w:kern w:val="0"/>
                <w:sz w:val="20"/>
                <w:szCs w:val="20"/>
              </w:rPr>
            </w:pPr>
          </w:p>
          <w:p>
            <w:pPr>
              <w:spacing w:line="360" w:lineRule="exact"/>
              <w:jc w:val="center"/>
              <w:rPr>
                <w:rFonts w:ascii="宋体" w:hAnsi="宋体" w:eastAsia="宋体" w:cs="宋体"/>
                <w:b/>
                <w:kern w:val="0"/>
                <w:sz w:val="20"/>
                <w:szCs w:val="20"/>
              </w:rPr>
            </w:pPr>
            <w:r>
              <w:rPr>
                <w:rFonts w:hint="eastAsia" w:ascii="宋体" w:hAnsi="宋体" w:eastAsia="宋体" w:cs="宋体"/>
                <w:kern w:val="0"/>
                <w:sz w:val="20"/>
                <w:szCs w:val="20"/>
              </w:rPr>
              <w:t>3</w:t>
            </w:r>
          </w:p>
          <w:p>
            <w:pPr>
              <w:spacing w:line="360" w:lineRule="exact"/>
              <w:jc w:val="center"/>
              <w:rPr>
                <w:rFonts w:hint="eastAsia" w:ascii="宋体" w:hAnsi="宋体" w:eastAsia="宋体" w:cs="宋体"/>
                <w:b/>
                <w:kern w:val="0"/>
                <w:sz w:val="20"/>
                <w:szCs w:val="20"/>
              </w:rPr>
            </w:pPr>
            <w:r>
              <w:rPr>
                <w:rFonts w:hint="eastAsia" w:ascii="宋体" w:hAnsi="宋体" w:eastAsia="宋体" w:cs="宋体"/>
                <w:kern w:val="0"/>
                <w:sz w:val="20"/>
                <w:szCs w:val="20"/>
              </w:rPr>
              <w:t xml:space="preserve"> </w:t>
            </w:r>
          </w:p>
        </w:tc>
        <w:tc>
          <w:tcPr>
            <w:tcW w:w="3520" w:type="dxa"/>
            <w:shd w:val="clear" w:color="auto" w:fill="auto"/>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仿宋_GB2312"/>
                <w:sz w:val="20"/>
                <w:szCs w:val="20"/>
              </w:rPr>
              <w:t>烟草专卖批发企业许可证核发</w:t>
            </w:r>
          </w:p>
        </w:tc>
        <w:tc>
          <w:tcPr>
            <w:tcW w:w="1920" w:type="dxa"/>
            <w:shd w:val="clear" w:color="auto" w:fill="auto"/>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国家烟草专卖局或省级烟草专卖行政主管部门</w:t>
            </w:r>
          </w:p>
        </w:tc>
        <w:tc>
          <w:tcPr>
            <w:tcW w:w="3167" w:type="dxa"/>
            <w:shd w:val="clear" w:color="auto" w:fill="auto"/>
            <w:vAlign w:val="center"/>
          </w:tcPr>
          <w:p>
            <w:pPr>
              <w:adjustRightInd w:val="0"/>
              <w:snapToGrid w:val="0"/>
              <w:spacing w:line="340" w:lineRule="exact"/>
              <w:jc w:val="left"/>
              <w:rPr>
                <w:rFonts w:hint="eastAsia" w:ascii="宋体" w:hAnsi="宋体" w:eastAsia="宋体"/>
                <w:color w:val="000000"/>
                <w:sz w:val="20"/>
                <w:szCs w:val="20"/>
              </w:rPr>
            </w:pPr>
            <w:r>
              <w:rPr>
                <w:rFonts w:hint="eastAsia" w:ascii="宋体" w:hAnsi="宋体" w:eastAsia="宋体"/>
                <w:color w:val="000000"/>
                <w:sz w:val="20"/>
                <w:szCs w:val="20"/>
              </w:rPr>
              <w:t>《中华人民共和国烟草专卖法》</w:t>
            </w:r>
          </w:p>
          <w:p>
            <w:pPr>
              <w:adjustRightInd w:val="0"/>
              <w:snapToGrid w:val="0"/>
              <w:spacing w:line="340" w:lineRule="exact"/>
              <w:jc w:val="left"/>
              <w:rPr>
                <w:rFonts w:ascii="宋体" w:hAnsi="宋体" w:eastAsia="宋体"/>
                <w:color w:val="000000"/>
                <w:sz w:val="20"/>
                <w:szCs w:val="20"/>
              </w:rPr>
            </w:pPr>
            <w:r>
              <w:rPr>
                <w:rFonts w:hint="eastAsia" w:ascii="宋体" w:hAnsi="宋体" w:eastAsia="宋体"/>
                <w:color w:val="000000"/>
                <w:sz w:val="20"/>
                <w:szCs w:val="20"/>
              </w:rPr>
              <w:t>《烟草专卖法实施条例》（国务院令第223号）</w:t>
            </w:r>
          </w:p>
          <w:p>
            <w:pPr>
              <w:adjustRightInd w:val="0"/>
              <w:snapToGrid w:val="0"/>
              <w:spacing w:line="340" w:lineRule="exact"/>
              <w:jc w:val="left"/>
              <w:rPr>
                <w:rFonts w:hint="eastAsia" w:ascii="宋体" w:hAnsi="宋体" w:eastAsia="宋体"/>
                <w:color w:val="000000"/>
                <w:sz w:val="20"/>
                <w:szCs w:val="20"/>
              </w:rPr>
            </w:pPr>
            <w:r>
              <w:rPr>
                <w:rFonts w:hint="eastAsia" w:ascii="宋体" w:hAnsi="宋体" w:eastAsia="宋体" w:cs="宋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960" w:hRule="atLeast"/>
          <w:jc w:val="center"/>
        </w:trPr>
        <w:tc>
          <w:tcPr>
            <w:tcW w:w="598" w:type="dxa"/>
            <w:vMerge w:val="continue"/>
            <w:shd w:val="clear" w:color="auto" w:fill="auto"/>
            <w:vAlign w:val="top"/>
          </w:tcPr>
          <w:p>
            <w:pPr>
              <w:spacing w:line="360" w:lineRule="exact"/>
              <w:ind w:left="420"/>
              <w:rPr>
                <w:rFonts w:hint="eastAsia" w:ascii="宋体" w:hAnsi="宋体" w:eastAsia="宋体" w:cs="宋体"/>
                <w:kern w:val="0"/>
                <w:sz w:val="20"/>
                <w:szCs w:val="20"/>
              </w:rPr>
            </w:pPr>
          </w:p>
        </w:tc>
        <w:tc>
          <w:tcPr>
            <w:tcW w:w="663" w:type="dxa"/>
            <w:shd w:val="clear" w:color="auto" w:fill="auto"/>
            <w:vAlign w:val="center"/>
          </w:tcPr>
          <w:p>
            <w:pPr>
              <w:spacing w:line="36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3520" w:type="dxa"/>
            <w:shd w:val="clear" w:color="auto" w:fill="auto"/>
            <w:vAlign w:val="center"/>
          </w:tcPr>
          <w:p>
            <w:pPr>
              <w:adjustRightInd w:val="0"/>
              <w:snapToGrid w:val="0"/>
              <w:spacing w:line="340" w:lineRule="exact"/>
              <w:rPr>
                <w:rFonts w:hint="eastAsia" w:ascii="宋体" w:hAnsi="宋体" w:eastAsia="宋体" w:cs="仿宋_GB2312"/>
                <w:sz w:val="20"/>
                <w:szCs w:val="20"/>
              </w:rPr>
            </w:pPr>
            <w:r>
              <w:rPr>
                <w:rFonts w:ascii="宋体" w:hAnsi="宋体" w:eastAsia="宋体" w:cs="宋体"/>
                <w:kern w:val="0"/>
                <w:sz w:val="20"/>
                <w:szCs w:val="20"/>
              </w:rPr>
              <w:t>通用航空企业经营许可</w:t>
            </w:r>
          </w:p>
        </w:tc>
        <w:tc>
          <w:tcPr>
            <w:tcW w:w="1920" w:type="dxa"/>
            <w:shd w:val="clear" w:color="auto" w:fill="auto"/>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宋体"/>
                <w:kern w:val="0"/>
                <w:sz w:val="20"/>
                <w:szCs w:val="20"/>
              </w:rPr>
              <w:t>民航地区管理局</w:t>
            </w:r>
          </w:p>
        </w:tc>
        <w:tc>
          <w:tcPr>
            <w:tcW w:w="3167" w:type="dxa"/>
            <w:shd w:val="clear" w:color="auto" w:fill="auto"/>
            <w:vAlign w:val="center"/>
          </w:tcPr>
          <w:p>
            <w:pPr>
              <w:adjustRightInd w:val="0"/>
              <w:snapToGrid w:val="0"/>
              <w:spacing w:line="340" w:lineRule="exact"/>
              <w:jc w:val="left"/>
              <w:rPr>
                <w:rFonts w:hint="eastAsia" w:ascii="宋体" w:hAnsi="宋体" w:eastAsia="宋体"/>
                <w:color w:val="000000"/>
                <w:sz w:val="20"/>
                <w:szCs w:val="20"/>
              </w:rPr>
            </w:pPr>
            <w:r>
              <w:rPr>
                <w:rFonts w:ascii="宋体" w:hAnsi="宋体" w:eastAsia="宋体" w:cs="宋体"/>
                <w:kern w:val="0"/>
                <w:sz w:val="20"/>
                <w:szCs w:val="20"/>
              </w:rPr>
              <w:t>《中华人民共和国民用航空法》《国务院关于第六批决定取消和调整行政审批项目的决定》（国发〔2012〕52号）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restart"/>
            <w:vAlign w:val="center"/>
          </w:tcPr>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rPr>
                <w:rFonts w:hint="eastAsia" w:ascii="宋体" w:hAnsi="宋体" w:eastAsia="宋体" w:cs="宋体"/>
                <w:kern w:val="0"/>
                <w:sz w:val="20"/>
                <w:szCs w:val="20"/>
              </w:rPr>
            </w:pPr>
          </w:p>
          <w:p>
            <w:pPr>
              <w:widowControl/>
              <w:spacing w:line="260" w:lineRule="exact"/>
              <w:ind w:left="99" w:leftChars="31"/>
              <w:rPr>
                <w:rFonts w:hint="eastAsia" w:ascii="宋体" w:hAnsi="宋体" w:eastAsia="宋体" w:cs="宋体"/>
                <w:kern w:val="0"/>
                <w:sz w:val="20"/>
                <w:szCs w:val="20"/>
              </w:rPr>
            </w:pPr>
            <w:r>
              <w:rPr>
                <w:rFonts w:hint="eastAsia" w:ascii="宋体" w:hAnsi="宋体" w:eastAsia="宋体" w:cs="宋体"/>
                <w:kern w:val="0"/>
                <w:sz w:val="20"/>
                <w:szCs w:val="20"/>
              </w:rPr>
              <w:t>国务 院决定保留的工商登记前置审批事项目录</w:t>
            </w: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p>
          <w:p>
            <w:pPr>
              <w:widowControl/>
              <w:spacing w:line="26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国务院决定保留的工商登记前置审批事项目录</w:t>
            </w:r>
          </w:p>
        </w:tc>
        <w:tc>
          <w:tcPr>
            <w:tcW w:w="663" w:type="dxa"/>
            <w:vAlign w:val="center"/>
          </w:tcPr>
          <w:p>
            <w:pPr>
              <w:widowControl/>
              <w:spacing w:line="360" w:lineRule="exact"/>
              <w:jc w:val="center"/>
              <w:rPr>
                <w:rFonts w:ascii="宋体" w:hAnsi="宋体" w:eastAsia="宋体" w:cs="宋体"/>
                <w:kern w:val="0"/>
                <w:sz w:val="24"/>
                <w:szCs w:val="24"/>
              </w:rPr>
            </w:pPr>
            <w:r>
              <w:rPr>
                <w:rFonts w:ascii="宋体" w:hAnsi="宋体" w:eastAsia="宋体" w:cs="宋体"/>
                <w:kern w:val="0"/>
                <w:sz w:val="20"/>
                <w:szCs w:val="20"/>
              </w:rPr>
              <w:t>1</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民用爆炸物品生产许可</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工业和信息化部</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《民用爆炸物品安全管理条例》（国务院令第466号）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4"/>
                <w:szCs w:val="24"/>
              </w:rPr>
            </w:pPr>
            <w:r>
              <w:rPr>
                <w:rFonts w:ascii="宋体" w:hAnsi="宋体" w:eastAsia="宋体" w:cs="宋体"/>
                <w:kern w:val="0"/>
                <w:sz w:val="20"/>
                <w:szCs w:val="20"/>
              </w:rPr>
              <w:t>2</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爆破作业单位许可证核发</w:t>
            </w:r>
          </w:p>
        </w:tc>
        <w:tc>
          <w:tcPr>
            <w:tcW w:w="1920" w:type="dxa"/>
            <w:vAlign w:val="center"/>
          </w:tcPr>
          <w:p>
            <w:pPr>
              <w:widowControl/>
              <w:spacing w:line="340" w:lineRule="exact"/>
              <w:jc w:val="center"/>
              <w:rPr>
                <w:rFonts w:ascii="宋体" w:hAnsi="宋体" w:eastAsia="宋体" w:cs="宋体"/>
                <w:kern w:val="0"/>
                <w:sz w:val="24"/>
                <w:szCs w:val="24"/>
              </w:rPr>
            </w:pPr>
            <w:r>
              <w:rPr>
                <w:rFonts w:hint="eastAsia" w:ascii="宋体" w:hAnsi="宋体" w:eastAsia="宋体" w:cs="宋体"/>
                <w:kern w:val="0"/>
                <w:sz w:val="20"/>
                <w:szCs w:val="20"/>
              </w:rPr>
              <w:t>省级、设区的市级</w:t>
            </w:r>
            <w:r>
              <w:rPr>
                <w:rFonts w:ascii="宋体" w:hAnsi="宋体" w:eastAsia="宋体" w:cs="宋体"/>
                <w:kern w:val="0"/>
                <w:sz w:val="20"/>
                <w:szCs w:val="20"/>
              </w:rPr>
              <w:t>人民政府公安机关</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《民用爆炸物品安全管理条例》（国务院令第466号）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4"/>
                <w:szCs w:val="24"/>
              </w:rPr>
            </w:pPr>
            <w:r>
              <w:rPr>
                <w:rFonts w:ascii="宋体" w:hAnsi="宋体" w:eastAsia="宋体" w:cs="宋体"/>
                <w:kern w:val="0"/>
                <w:sz w:val="20"/>
                <w:szCs w:val="20"/>
              </w:rPr>
              <w:t>3</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民用枪支（弹药）制造、配售许可</w:t>
            </w:r>
          </w:p>
        </w:tc>
        <w:tc>
          <w:tcPr>
            <w:tcW w:w="1920" w:type="dxa"/>
            <w:vAlign w:val="center"/>
          </w:tcPr>
          <w:p>
            <w:pPr>
              <w:widowControl/>
              <w:spacing w:line="340" w:lineRule="exact"/>
              <w:jc w:val="center"/>
              <w:rPr>
                <w:rFonts w:hint="eastAsia" w:ascii="宋体" w:hAnsi="宋体" w:eastAsia="宋体" w:cs="宋体"/>
                <w:kern w:val="0"/>
                <w:sz w:val="24"/>
                <w:szCs w:val="24"/>
              </w:rPr>
            </w:pPr>
            <w:r>
              <w:rPr>
                <w:rFonts w:ascii="宋体" w:hAnsi="宋体" w:eastAsia="宋体" w:cs="宋体"/>
                <w:kern w:val="0"/>
                <w:sz w:val="20"/>
                <w:szCs w:val="20"/>
              </w:rPr>
              <w:t>公安部</w:t>
            </w:r>
            <w:r>
              <w:rPr>
                <w:rFonts w:hint="eastAsia" w:ascii="宋体" w:hAnsi="宋体" w:eastAsia="宋体" w:cs="宋体"/>
                <w:kern w:val="0"/>
                <w:sz w:val="20"/>
                <w:szCs w:val="20"/>
              </w:rPr>
              <w:t>、省级人民政府公安机关</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《中华人民共和国枪支管理法》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625"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4"/>
                <w:szCs w:val="24"/>
              </w:rPr>
            </w:pPr>
            <w:r>
              <w:rPr>
                <w:rFonts w:ascii="宋体" w:hAnsi="宋体" w:eastAsia="宋体" w:cs="宋体"/>
                <w:kern w:val="0"/>
                <w:sz w:val="20"/>
                <w:szCs w:val="20"/>
              </w:rPr>
              <w:t>4</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制造、销售弩或营业性射击场开设弩射项目审批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省级人民政府公安机关</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《国务院对确需保留的行政审批项目设定行政许可的决定》（国务院令第412号）《公安部国家工商行政管理局关于加强弩管理的通知》（公治〔1999〕1646号）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4"/>
                <w:szCs w:val="24"/>
              </w:rPr>
            </w:pPr>
            <w:r>
              <w:rPr>
                <w:rFonts w:ascii="宋体" w:hAnsi="宋体" w:eastAsia="宋体" w:cs="宋体"/>
                <w:kern w:val="0"/>
                <w:sz w:val="20"/>
                <w:szCs w:val="20"/>
              </w:rPr>
              <w:t>5</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保安服务许可证核发</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省级人民政府公安机关</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《保安服务管理条例》（国务院令第564号）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373"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4"/>
                <w:szCs w:val="24"/>
              </w:rPr>
            </w:pPr>
            <w:r>
              <w:rPr>
                <w:rFonts w:ascii="宋体" w:hAnsi="宋体" w:eastAsia="宋体" w:cs="宋体"/>
                <w:kern w:val="0"/>
                <w:sz w:val="20"/>
                <w:szCs w:val="20"/>
              </w:rPr>
              <w:t>6</w:t>
            </w:r>
          </w:p>
        </w:tc>
        <w:tc>
          <w:tcPr>
            <w:tcW w:w="3520" w:type="dxa"/>
            <w:vAlign w:val="center"/>
          </w:tcPr>
          <w:p>
            <w:pPr>
              <w:adjustRightInd w:val="0"/>
              <w:snapToGrid w:val="0"/>
              <w:spacing w:line="340" w:lineRule="exact"/>
              <w:rPr>
                <w:rFonts w:hint="eastAsia" w:ascii="宋体" w:hAnsi="宋体" w:eastAsia="宋体" w:cs="宋体"/>
                <w:kern w:val="0"/>
                <w:sz w:val="20"/>
                <w:szCs w:val="20"/>
              </w:rPr>
            </w:pPr>
            <w:r>
              <w:rPr>
                <w:rFonts w:hint="eastAsia" w:ascii="宋体" w:hAnsi="宋体" w:eastAsia="宋体" w:cs="宋体"/>
                <w:kern w:val="0"/>
                <w:sz w:val="20"/>
                <w:szCs w:val="20"/>
              </w:rPr>
              <w:t>涉及国家规定实施准入特别管理措施的</w:t>
            </w:r>
            <w:r>
              <w:rPr>
                <w:rFonts w:ascii="宋体" w:hAnsi="宋体" w:eastAsia="宋体" w:cs="宋体"/>
                <w:kern w:val="0"/>
                <w:sz w:val="20"/>
                <w:szCs w:val="20"/>
              </w:rPr>
              <w:t>外商投资企业</w:t>
            </w:r>
            <w:r>
              <w:rPr>
                <w:rFonts w:hint="eastAsia" w:ascii="宋体" w:hAnsi="宋体" w:eastAsia="宋体" w:cs="宋体"/>
                <w:kern w:val="0"/>
                <w:sz w:val="20"/>
                <w:szCs w:val="20"/>
              </w:rPr>
              <w:t>的</w:t>
            </w:r>
            <w:r>
              <w:rPr>
                <w:rFonts w:ascii="宋体" w:hAnsi="宋体" w:eastAsia="宋体" w:cs="宋体"/>
                <w:kern w:val="0"/>
                <w:sz w:val="20"/>
                <w:szCs w:val="20"/>
              </w:rPr>
              <w:t>设立及变更审批</w:t>
            </w:r>
          </w:p>
        </w:tc>
        <w:tc>
          <w:tcPr>
            <w:tcW w:w="19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商务部、国务院授权的部门或地方人民政府</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《中华人民共和国中外合资经营企业法》《中华人民共和国中外合作经营企业法》《中华人民共和国台湾同胞投资保护法》《中华人民共和国外资企业法》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7</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设立经营个人征信业务的征信机构审批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中国人民银行</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《征信业管理条例》（国务院令第631号）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8</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卫星电视广播地面接收设施安装许可审批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新闻出版广电总局</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《卫星电视广播地面接收设施管理规定》（国务院令第129号）《关于进一步加强卫星电视广播地面接收设施管理的意见》（广发外字〔2002〕254号）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9</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设立出版物进口经营单位审批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新闻出版广电总局</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《出版管理条例》（国务院令第594号）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ascii="宋体" w:hAnsi="宋体" w:eastAsia="宋体" w:cs="宋体"/>
                <w:kern w:val="0"/>
                <w:sz w:val="20"/>
                <w:szCs w:val="20"/>
              </w:rPr>
              <w:t>1</w:t>
            </w:r>
            <w:r>
              <w:rPr>
                <w:rFonts w:hint="eastAsia" w:ascii="宋体" w:hAnsi="宋体" w:eastAsia="宋体" w:cs="宋体"/>
                <w:kern w:val="0"/>
                <w:sz w:val="20"/>
                <w:szCs w:val="20"/>
              </w:rPr>
              <w:t>0</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设立出版单位审批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新闻出版广电总局</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《出版管理条例》（国务院令第594号）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11</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境外出版机构在境内设立办事机构审批</w:t>
            </w:r>
          </w:p>
        </w:tc>
        <w:tc>
          <w:tcPr>
            <w:tcW w:w="1920" w:type="dxa"/>
            <w:vAlign w:val="center"/>
          </w:tcPr>
          <w:p>
            <w:pPr>
              <w:widowControl/>
              <w:spacing w:line="340" w:lineRule="exact"/>
              <w:jc w:val="center"/>
              <w:rPr>
                <w:rFonts w:hint="eastAsia" w:ascii="宋体" w:hAnsi="宋体" w:eastAsia="宋体" w:cs="宋体"/>
                <w:kern w:val="0"/>
                <w:sz w:val="20"/>
                <w:szCs w:val="20"/>
              </w:rPr>
            </w:pPr>
            <w:r>
              <w:rPr>
                <w:rFonts w:ascii="宋体" w:hAnsi="宋体" w:eastAsia="宋体" w:cs="宋体"/>
                <w:kern w:val="0"/>
                <w:sz w:val="20"/>
                <w:szCs w:val="20"/>
              </w:rPr>
              <w:t>新闻出版广电总局</w:t>
            </w:r>
          </w:p>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国务院新闻办</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《国务院对确需保留的行政审批项目设定行政许可的决定》（国务院令第412号）《外国企业常驻代表机构登记管理条例》（国务院令第584号）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12</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境外广播电影电视机构在华设立办事机构审批</w:t>
            </w:r>
          </w:p>
        </w:tc>
        <w:tc>
          <w:tcPr>
            <w:tcW w:w="1920" w:type="dxa"/>
            <w:vAlign w:val="center"/>
          </w:tcPr>
          <w:p>
            <w:pPr>
              <w:widowControl/>
              <w:spacing w:line="340" w:lineRule="exact"/>
              <w:jc w:val="center"/>
              <w:rPr>
                <w:rFonts w:hint="eastAsia" w:ascii="宋体" w:hAnsi="宋体" w:eastAsia="宋体" w:cs="宋体"/>
                <w:kern w:val="0"/>
                <w:sz w:val="20"/>
                <w:szCs w:val="20"/>
              </w:rPr>
            </w:pPr>
            <w:r>
              <w:rPr>
                <w:rFonts w:ascii="宋体" w:hAnsi="宋体" w:eastAsia="宋体" w:cs="宋体"/>
                <w:kern w:val="0"/>
                <w:sz w:val="20"/>
                <w:szCs w:val="20"/>
              </w:rPr>
              <w:t>新闻出版广电总局</w:t>
            </w:r>
          </w:p>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国务院新闻办</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《国务院对确需保留的行政审批项目设定行政许可的决定》（国务院令第412号）《外国企业常驻代表机构登记管理条例》（国务院令第584号）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13</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危险化学品经营许可</w:t>
            </w:r>
          </w:p>
        </w:tc>
        <w:tc>
          <w:tcPr>
            <w:tcW w:w="19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县级、设区的市级人民政府安全生产监督管理部门</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《危险化学品安全管理条例》（国务院令第591号）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14</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新建、改建、扩建生产、储存危险化学品（包括使用长输管道输送危险化学品）建设项目安全条件审查</w:t>
            </w:r>
            <w:r>
              <w:rPr>
                <w:rFonts w:hint="eastAsia" w:ascii="宋体" w:hAnsi="宋体" w:eastAsia="宋体" w:cs="宋体"/>
                <w:color w:val="000000"/>
                <w:kern w:val="0"/>
                <w:sz w:val="20"/>
                <w:szCs w:val="20"/>
              </w:rPr>
              <w:t>；新建、改建、扩建储存、装卸危险化学品的港口建设项目安全条件审查</w:t>
            </w:r>
          </w:p>
        </w:tc>
        <w:tc>
          <w:tcPr>
            <w:tcW w:w="1920" w:type="dxa"/>
            <w:vAlign w:val="center"/>
          </w:tcPr>
          <w:p>
            <w:pPr>
              <w:widowControl/>
              <w:spacing w:line="340" w:lineRule="exact"/>
              <w:rPr>
                <w:rFonts w:hint="eastAsia" w:ascii="宋体" w:hAnsi="宋体" w:eastAsia="宋体" w:cs="宋体"/>
                <w:kern w:val="0"/>
                <w:sz w:val="24"/>
                <w:szCs w:val="24"/>
              </w:rPr>
            </w:pPr>
            <w:r>
              <w:rPr>
                <w:rFonts w:ascii="宋体" w:hAnsi="宋体" w:eastAsia="宋体" w:cs="宋体"/>
                <w:kern w:val="0"/>
                <w:sz w:val="20"/>
                <w:szCs w:val="20"/>
              </w:rPr>
              <w:t>设区的市级以上人民政府安全生产监督管理部门</w:t>
            </w:r>
            <w:r>
              <w:rPr>
                <w:rFonts w:hint="eastAsia" w:ascii="宋体" w:hAnsi="宋体" w:eastAsia="宋体" w:cs="宋体"/>
                <w:kern w:val="0"/>
                <w:sz w:val="20"/>
                <w:szCs w:val="20"/>
              </w:rPr>
              <w:t>；港口行政管理部门</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《危险化学品安全管理条例》（国务院令第591号）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15</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烟花爆竹生产企业安全生产许可</w:t>
            </w:r>
          </w:p>
        </w:tc>
        <w:tc>
          <w:tcPr>
            <w:tcW w:w="19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省级人民政府安全生产监督管理部门</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《烟花爆竹安全管理条例》（国务院令第455号）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外资银行营业性机构及其分支机构设立审批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银监会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《中华人民共和国银行业监督管理法》《外资银行管理条例》（国务院令第478号）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外国银行代表处设立审批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银监会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《中华人民共和国银行业监督管理法》《外资银行管理条例》（国务院令第478号）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中资银行业金融机构及其分支机构设立审批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银监会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《中华人民共和国银行业监督管理法》《中华人民共和国商业银行法》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非银行金融机构（分支机构）设立审批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银监会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《中华人民共和国银行业监督管理法》《金融资产管理公司条例》（国务院令第297号）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融资性担保机构设立审批</w:t>
            </w:r>
          </w:p>
        </w:tc>
        <w:tc>
          <w:tcPr>
            <w:tcW w:w="19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省级人民政府确定的部门</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国务院对确需保留的行政审批项目设定行政许可的决定》（国务院令第412号）《国务院关于修改〈国务院对确需保留的行政审批项目设定行政许可的决定〉的决定》（国务院令第548号）《融资性担保公司管理暂行办法》（银监会令2010年第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21</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外国证券类机构设立驻华代表机构核准</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证监会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《国务院对确需保留的行政审批项目设定行政许可的决定》（国务院令第412号）《国务院关于管理外国企业常驻代表机构的暂行规定》（国发〔1980〕272号）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22</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设立期货专门结算机构审批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证监会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《期货交易管理条例》（国务院令第627号）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23</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设立期货交易场所审批</w:t>
            </w:r>
          </w:p>
        </w:tc>
        <w:tc>
          <w:tcPr>
            <w:tcW w:w="1920" w:type="dxa"/>
            <w:vAlign w:val="center"/>
          </w:tcPr>
          <w:p>
            <w:pPr>
              <w:widowControl/>
              <w:spacing w:line="340" w:lineRule="exact"/>
              <w:jc w:val="center"/>
              <w:rPr>
                <w:rFonts w:ascii="宋体" w:hAnsi="宋体" w:eastAsia="宋体" w:cs="宋体"/>
                <w:kern w:val="0"/>
                <w:sz w:val="24"/>
                <w:szCs w:val="24"/>
              </w:rPr>
            </w:pPr>
            <w:r>
              <w:rPr>
                <w:rFonts w:hint="eastAsia" w:ascii="宋体" w:hAnsi="宋体" w:eastAsia="宋体" w:cs="宋体"/>
                <w:kern w:val="0"/>
                <w:sz w:val="20"/>
                <w:szCs w:val="20"/>
              </w:rPr>
              <w:t>国务院或</w:t>
            </w:r>
            <w:r>
              <w:rPr>
                <w:rFonts w:ascii="宋体" w:hAnsi="宋体" w:eastAsia="宋体" w:cs="宋体"/>
                <w:kern w:val="0"/>
                <w:sz w:val="20"/>
                <w:szCs w:val="20"/>
              </w:rPr>
              <w:t>证监会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《期货交易管理条例》（国务院令第627号）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24</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证券交易所设立审核、证券登记结算机构设立审批</w:t>
            </w:r>
          </w:p>
        </w:tc>
        <w:tc>
          <w:tcPr>
            <w:tcW w:w="1920" w:type="dxa"/>
            <w:vAlign w:val="center"/>
          </w:tcPr>
          <w:p>
            <w:pPr>
              <w:widowControl/>
              <w:spacing w:line="34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国务院</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25</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专属自保组织和相互保险组织设立审批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保监会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26</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保险公司及其分支机构设立审批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保监会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84" w:hRule="atLeast"/>
          <w:jc w:val="center"/>
        </w:trPr>
        <w:tc>
          <w:tcPr>
            <w:tcW w:w="598" w:type="dxa"/>
            <w:vMerge w:val="continue"/>
            <w:vAlign w:val="top"/>
          </w:tcPr>
          <w:p>
            <w:pPr>
              <w:widowControl/>
              <w:spacing w:line="360" w:lineRule="exact"/>
              <w:jc w:val="center"/>
              <w:rPr>
                <w:rFonts w:ascii="宋体" w:hAnsi="宋体" w:eastAsia="宋体" w:cs="宋体"/>
                <w:kern w:val="0"/>
                <w:sz w:val="20"/>
                <w:szCs w:val="20"/>
              </w:rPr>
            </w:pPr>
          </w:p>
        </w:tc>
        <w:tc>
          <w:tcPr>
            <w:tcW w:w="663" w:type="dxa"/>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3520" w:type="dxa"/>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外国保险机构驻华代表机构设立审批</w:t>
            </w:r>
          </w:p>
        </w:tc>
        <w:tc>
          <w:tcPr>
            <w:tcW w:w="1920" w:type="dxa"/>
            <w:vAlign w:val="center"/>
          </w:tcPr>
          <w:p>
            <w:pPr>
              <w:widowControl/>
              <w:spacing w:line="340" w:lineRule="exact"/>
              <w:jc w:val="center"/>
              <w:rPr>
                <w:rFonts w:ascii="宋体" w:hAnsi="宋体" w:eastAsia="宋体" w:cs="宋体"/>
                <w:kern w:val="0"/>
                <w:sz w:val="24"/>
                <w:szCs w:val="24"/>
              </w:rPr>
            </w:pPr>
            <w:r>
              <w:rPr>
                <w:rFonts w:ascii="宋体" w:hAnsi="宋体" w:eastAsia="宋体" w:cs="宋体"/>
                <w:kern w:val="0"/>
                <w:sz w:val="20"/>
                <w:szCs w:val="20"/>
              </w:rPr>
              <w:t>保监会</w:t>
            </w:r>
          </w:p>
        </w:tc>
        <w:tc>
          <w:tcPr>
            <w:tcW w:w="3167" w:type="dxa"/>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《中华人民共和国保险法》《国务院对确需保留的行政审批项目设定行政许可的决定》（国务院令第412号）《国务院关于管理外国企业常驻代表机构的暂行规定》（国发〔1980〕272号）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985" w:hRule="atLeast"/>
          <w:jc w:val="center"/>
        </w:trPr>
        <w:tc>
          <w:tcPr>
            <w:tcW w:w="598" w:type="dxa"/>
            <w:vMerge w:val="continue"/>
            <w:shd w:val="clear" w:color="auto" w:fill="auto"/>
            <w:vAlign w:val="top"/>
          </w:tcPr>
          <w:p>
            <w:pPr>
              <w:widowControl/>
              <w:spacing w:line="360" w:lineRule="exact"/>
              <w:jc w:val="center"/>
              <w:rPr>
                <w:rFonts w:ascii="宋体" w:hAnsi="宋体" w:eastAsia="宋体" w:cs="宋体"/>
                <w:kern w:val="0"/>
                <w:sz w:val="20"/>
                <w:szCs w:val="20"/>
              </w:rPr>
            </w:pPr>
          </w:p>
        </w:tc>
        <w:tc>
          <w:tcPr>
            <w:tcW w:w="663" w:type="dxa"/>
            <w:shd w:val="clear" w:color="auto" w:fill="auto"/>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0"/>
                <w:szCs w:val="20"/>
              </w:rPr>
              <w:t>28</w:t>
            </w:r>
          </w:p>
          <w:p>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0"/>
                <w:szCs w:val="20"/>
              </w:rPr>
              <w:t xml:space="preserve"> </w:t>
            </w:r>
          </w:p>
        </w:tc>
        <w:tc>
          <w:tcPr>
            <w:tcW w:w="3520" w:type="dxa"/>
            <w:shd w:val="clear" w:color="auto" w:fill="auto"/>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快递业务经营许可</w:t>
            </w:r>
          </w:p>
        </w:tc>
        <w:tc>
          <w:tcPr>
            <w:tcW w:w="1920" w:type="dxa"/>
            <w:shd w:val="clear" w:color="auto" w:fill="auto"/>
            <w:vAlign w:val="center"/>
          </w:tcPr>
          <w:p>
            <w:pPr>
              <w:widowControl/>
              <w:spacing w:line="340" w:lineRule="exact"/>
              <w:rPr>
                <w:rFonts w:ascii="宋体" w:hAnsi="宋体" w:eastAsia="宋体" w:cs="宋体"/>
                <w:kern w:val="0"/>
                <w:sz w:val="24"/>
                <w:szCs w:val="24"/>
              </w:rPr>
            </w:pPr>
            <w:r>
              <w:rPr>
                <w:rFonts w:ascii="宋体" w:hAnsi="宋体" w:eastAsia="宋体" w:cs="宋体"/>
                <w:kern w:val="0"/>
                <w:sz w:val="20"/>
                <w:szCs w:val="20"/>
              </w:rPr>
              <w:t>国家邮政局或省级邮政管理机构</w:t>
            </w:r>
          </w:p>
        </w:tc>
        <w:tc>
          <w:tcPr>
            <w:tcW w:w="3167" w:type="dxa"/>
            <w:shd w:val="clear" w:color="auto" w:fill="auto"/>
            <w:vAlign w:val="center"/>
          </w:tcPr>
          <w:p>
            <w:pPr>
              <w:widowControl/>
              <w:spacing w:line="340" w:lineRule="exact"/>
              <w:jc w:val="left"/>
              <w:rPr>
                <w:rFonts w:ascii="宋体" w:hAnsi="宋体" w:eastAsia="宋体" w:cs="宋体"/>
                <w:kern w:val="0"/>
                <w:sz w:val="24"/>
                <w:szCs w:val="24"/>
              </w:rPr>
            </w:pPr>
            <w:r>
              <w:rPr>
                <w:rFonts w:ascii="宋体" w:hAnsi="宋体" w:eastAsia="宋体" w:cs="宋体"/>
                <w:kern w:val="0"/>
                <w:sz w:val="20"/>
                <w:szCs w:val="20"/>
              </w:rPr>
              <w:t>《中华人民共和国邮政法》</w:t>
            </w:r>
          </w:p>
        </w:tc>
      </w:tr>
    </w:tbl>
    <w:p/>
    <w:p>
      <w:pPr>
        <w:sectPr>
          <w:footerReference r:id="rId3" w:type="default"/>
          <w:pgSz w:w="11906" w:h="16838"/>
          <w:pgMar w:top="1440" w:right="1800" w:bottom="1440" w:left="1800" w:header="851" w:footer="992" w:gutter="0"/>
          <w:cols w:space="425" w:num="1"/>
          <w:docGrid w:type="lines" w:linePitch="312" w:charSpace="0"/>
        </w:sectPr>
      </w:pPr>
    </w:p>
    <w:p>
      <w:pPr>
        <w:rPr>
          <w:rFonts w:hint="eastAsia" w:ascii="黑体" w:hAnsi="黑体" w:eastAsia="黑体" w:cs="华文楷体"/>
          <w:bCs/>
          <w:sz w:val="32"/>
          <w:szCs w:val="32"/>
        </w:rPr>
      </w:pPr>
      <w:r>
        <w:rPr>
          <w:rFonts w:hint="eastAsia" w:ascii="黑体" w:hAnsi="黑体" w:eastAsia="黑体" w:cs="华文楷体"/>
          <w:bCs/>
          <w:sz w:val="32"/>
          <w:szCs w:val="32"/>
        </w:rPr>
        <w:t>附件2</w:t>
      </w:r>
    </w:p>
    <w:p>
      <w:pPr>
        <w:spacing w:line="520" w:lineRule="exact"/>
        <w:jc w:val="both"/>
        <w:rPr>
          <w:rFonts w:hint="eastAsia" w:ascii="方正小标宋简体" w:hAnsi="华文中宋" w:eastAsia="方正小标宋简体" w:cs="华文楷体"/>
          <w:bCs/>
          <w:sz w:val="36"/>
        </w:rPr>
      </w:pPr>
      <w:r>
        <w:rPr>
          <w:rFonts w:hint="eastAsia" w:ascii="方正小标宋简体" w:hAnsi="华文中宋" w:eastAsia="方正小标宋简体" w:cs="华文楷体"/>
          <w:bCs/>
          <w:sz w:val="36"/>
          <w:lang w:val="en-US" w:eastAsia="zh-CN"/>
        </w:rPr>
        <w:t xml:space="preserve"> </w:t>
      </w:r>
      <w:r>
        <w:rPr>
          <w:rFonts w:hint="eastAsia" w:ascii="方正小标宋简体" w:hAnsi="华文中宋" w:eastAsia="方正小标宋简体" w:cs="华文楷体"/>
          <w:bCs/>
          <w:sz w:val="36"/>
        </w:rPr>
        <w:t>企业变更登记、注销登记前置审批事项指导目录</w:t>
      </w:r>
    </w:p>
    <w:p>
      <w:pPr>
        <w:jc w:val="center"/>
        <w:rPr>
          <w:rFonts w:hint="eastAsia" w:ascii="黑体" w:hAnsi="黑体" w:eastAsia="黑体" w:cs="华文楷体"/>
          <w:bCs/>
        </w:rPr>
      </w:pPr>
      <w:r>
        <w:rPr>
          <w:rFonts w:hint="eastAsia" w:hAnsi="仿宋_GB2312"/>
        </w:rPr>
        <w:t>（2017年5月）</w:t>
      </w:r>
    </w:p>
    <w:tbl>
      <w:tblPr>
        <w:tblStyle w:val="7"/>
        <w:tblW w:w="10172" w:type="dxa"/>
        <w:jc w:val="center"/>
        <w:tblInd w:w="0" w:type="dxa"/>
        <w:tblLayout w:type="fixed"/>
        <w:tblCellMar>
          <w:top w:w="57" w:type="dxa"/>
          <w:left w:w="113" w:type="dxa"/>
          <w:bottom w:w="57" w:type="dxa"/>
          <w:right w:w="113" w:type="dxa"/>
        </w:tblCellMar>
      </w:tblPr>
      <w:tblGrid>
        <w:gridCol w:w="837"/>
        <w:gridCol w:w="3483"/>
        <w:gridCol w:w="1920"/>
        <w:gridCol w:w="3932"/>
      </w:tblGrid>
      <w:tr>
        <w:tblPrEx>
          <w:tblLayout w:type="fixed"/>
          <w:tblCellMar>
            <w:top w:w="57" w:type="dxa"/>
            <w:left w:w="113" w:type="dxa"/>
            <w:bottom w:w="57" w:type="dxa"/>
            <w:right w:w="113" w:type="dxa"/>
          </w:tblCellMar>
        </w:tblPrEx>
        <w:trPr>
          <w:cantSplit/>
          <w:trHeight w:val="325" w:hRule="atLeast"/>
          <w:tblHeader/>
          <w:jc w:val="center"/>
        </w:trPr>
        <w:tc>
          <w:tcPr>
            <w:tcW w:w="837"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ascii="宋体" w:hAnsi="宋体" w:eastAsia="宋体" w:cs="黑体"/>
                <w:b/>
                <w:bCs/>
                <w:color w:val="000000"/>
                <w:sz w:val="20"/>
                <w:szCs w:val="20"/>
              </w:rPr>
            </w:pPr>
            <w:r>
              <w:rPr>
                <w:rFonts w:hint="eastAsia" w:ascii="宋体" w:hAnsi="宋体" w:eastAsia="宋体" w:cs="黑体"/>
                <w:b/>
                <w:bCs/>
                <w:color w:val="000000"/>
                <w:sz w:val="20"/>
                <w:szCs w:val="20"/>
              </w:rPr>
              <w:t>序号</w:t>
            </w:r>
          </w:p>
        </w:tc>
        <w:tc>
          <w:tcPr>
            <w:tcW w:w="3483"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s="仿宋_GB2312"/>
                <w:b/>
                <w:bCs/>
                <w:color w:val="000000"/>
                <w:sz w:val="20"/>
                <w:szCs w:val="20"/>
              </w:rPr>
            </w:pPr>
            <w:r>
              <w:rPr>
                <w:rFonts w:hint="eastAsia" w:ascii="宋体" w:hAnsi="宋体" w:eastAsia="宋体" w:cs="仿宋_GB2312"/>
                <w:b/>
                <w:bCs/>
                <w:color w:val="000000"/>
                <w:sz w:val="20"/>
                <w:szCs w:val="20"/>
              </w:rPr>
              <w:t>项目名称</w:t>
            </w:r>
          </w:p>
        </w:tc>
        <w:tc>
          <w:tcPr>
            <w:tcW w:w="1920"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s="仿宋_GB2312"/>
                <w:b/>
                <w:bCs/>
                <w:color w:val="000000"/>
                <w:sz w:val="20"/>
                <w:szCs w:val="20"/>
              </w:rPr>
            </w:pPr>
            <w:r>
              <w:rPr>
                <w:rFonts w:hint="eastAsia" w:ascii="宋体" w:hAnsi="宋体" w:eastAsia="宋体" w:cs="仿宋_GB2312"/>
                <w:b/>
                <w:bCs/>
                <w:color w:val="000000"/>
                <w:sz w:val="20"/>
                <w:szCs w:val="20"/>
              </w:rPr>
              <w:t>实施部门</w:t>
            </w:r>
          </w:p>
        </w:tc>
        <w:tc>
          <w:tcPr>
            <w:tcW w:w="3932"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s="仿宋_GB2312"/>
                <w:b/>
                <w:bCs/>
                <w:color w:val="000000"/>
                <w:sz w:val="20"/>
                <w:szCs w:val="20"/>
              </w:rPr>
            </w:pPr>
            <w:r>
              <w:rPr>
                <w:rFonts w:hint="eastAsia" w:ascii="宋体" w:hAnsi="宋体" w:eastAsia="宋体" w:cs="仿宋_GB2312"/>
                <w:b/>
                <w:bCs/>
                <w:color w:val="000000"/>
                <w:sz w:val="20"/>
                <w:szCs w:val="20"/>
              </w:rPr>
              <w:t>设定依据</w:t>
            </w:r>
          </w:p>
        </w:tc>
      </w:tr>
      <w:tr>
        <w:tblPrEx>
          <w:tblLayout w:type="fixed"/>
          <w:tblCellMar>
            <w:top w:w="57" w:type="dxa"/>
            <w:left w:w="113" w:type="dxa"/>
            <w:bottom w:w="57" w:type="dxa"/>
            <w:right w:w="113" w:type="dxa"/>
          </w:tblCellMar>
        </w:tblPrEx>
        <w:trPr>
          <w:cantSplit/>
          <w:trHeight w:val="235" w:hRule="atLeast"/>
          <w:jc w:val="center"/>
        </w:trPr>
        <w:tc>
          <w:tcPr>
            <w:tcW w:w="837" w:type="dxa"/>
            <w:tcBorders>
              <w:top w:val="single" w:color="auto" w:sz="6" w:space="0"/>
              <w:left w:val="single" w:color="auto" w:sz="4"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w:t>
            </w:r>
          </w:p>
        </w:tc>
        <w:tc>
          <w:tcPr>
            <w:tcW w:w="3483"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民用爆炸物品销售</w:t>
            </w:r>
          </w:p>
        </w:tc>
        <w:tc>
          <w:tcPr>
            <w:tcW w:w="1920"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省级人民政府民用爆炸物品行业主管部门</w:t>
            </w:r>
          </w:p>
        </w:tc>
        <w:tc>
          <w:tcPr>
            <w:tcW w:w="3932" w:type="dxa"/>
            <w:tcBorders>
              <w:top w:val="single" w:color="auto" w:sz="6" w:space="0"/>
              <w:left w:val="nil"/>
              <w:right w:val="single" w:color="auto" w:sz="6" w:space="0"/>
            </w:tcBorders>
            <w:vAlign w:val="center"/>
          </w:tcPr>
          <w:p>
            <w:pPr>
              <w:pStyle w:val="8"/>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《民用爆炸物品安全管理条例》（国务院令第653号）</w:t>
            </w:r>
          </w:p>
        </w:tc>
      </w:tr>
      <w:tr>
        <w:tblPrEx>
          <w:tblLayout w:type="fixed"/>
          <w:tblCellMar>
            <w:top w:w="57" w:type="dxa"/>
            <w:left w:w="113" w:type="dxa"/>
            <w:bottom w:w="57" w:type="dxa"/>
            <w:right w:w="113" w:type="dxa"/>
          </w:tblCellMar>
        </w:tblPrEx>
        <w:trPr>
          <w:cantSplit/>
          <w:trHeight w:val="235" w:hRule="atLeast"/>
          <w:jc w:val="center"/>
        </w:trPr>
        <w:tc>
          <w:tcPr>
            <w:tcW w:w="837" w:type="dxa"/>
            <w:tcBorders>
              <w:top w:val="single" w:color="auto" w:sz="6" w:space="0"/>
              <w:left w:val="single" w:color="auto" w:sz="4"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w:t>
            </w:r>
          </w:p>
        </w:tc>
        <w:tc>
          <w:tcPr>
            <w:tcW w:w="3483"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保安服务企业变更法定代表人</w:t>
            </w:r>
          </w:p>
        </w:tc>
        <w:tc>
          <w:tcPr>
            <w:tcW w:w="1920"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省级人民政府公安机关</w:t>
            </w:r>
          </w:p>
        </w:tc>
        <w:tc>
          <w:tcPr>
            <w:tcW w:w="3932" w:type="dxa"/>
            <w:tcBorders>
              <w:top w:val="single" w:color="auto" w:sz="6" w:space="0"/>
              <w:left w:val="nil"/>
              <w:right w:val="single" w:color="auto" w:sz="6" w:space="0"/>
            </w:tcBorders>
            <w:vAlign w:val="center"/>
          </w:tcPr>
          <w:p>
            <w:pPr>
              <w:pStyle w:val="8"/>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《保安服务管理条例》（国务院令第564号）</w:t>
            </w:r>
          </w:p>
        </w:tc>
      </w:tr>
      <w:tr>
        <w:tblPrEx>
          <w:tblLayout w:type="fixed"/>
          <w:tblCellMar>
            <w:top w:w="57" w:type="dxa"/>
            <w:left w:w="113" w:type="dxa"/>
            <w:bottom w:w="57" w:type="dxa"/>
            <w:right w:w="113" w:type="dxa"/>
          </w:tblCellMar>
        </w:tblPrEx>
        <w:trPr>
          <w:cantSplit/>
          <w:trHeight w:val="235" w:hRule="atLeast"/>
          <w:jc w:val="center"/>
        </w:trPr>
        <w:tc>
          <w:tcPr>
            <w:tcW w:w="837" w:type="dxa"/>
            <w:tcBorders>
              <w:top w:val="single" w:color="auto" w:sz="6" w:space="0"/>
              <w:left w:val="single" w:color="auto" w:sz="4"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3</w:t>
            </w:r>
          </w:p>
        </w:tc>
        <w:tc>
          <w:tcPr>
            <w:tcW w:w="3483"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宋体"/>
                <w:color w:val="000000"/>
                <w:kern w:val="0"/>
                <w:sz w:val="20"/>
                <w:szCs w:val="20"/>
              </w:rPr>
              <w:t>经营劳务派遣业务许可</w:t>
            </w:r>
          </w:p>
        </w:tc>
        <w:tc>
          <w:tcPr>
            <w:tcW w:w="1920"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县级以上地方人力资源社会保障部门</w:t>
            </w:r>
          </w:p>
        </w:tc>
        <w:tc>
          <w:tcPr>
            <w:tcW w:w="3932" w:type="dxa"/>
            <w:tcBorders>
              <w:top w:val="single" w:color="auto" w:sz="6" w:space="0"/>
              <w:left w:val="nil"/>
              <w:right w:val="single" w:color="auto" w:sz="6" w:space="0"/>
            </w:tcBorders>
            <w:vAlign w:val="center"/>
          </w:tcPr>
          <w:p>
            <w:pPr>
              <w:pStyle w:val="8"/>
              <w:adjustRightInd w:val="0"/>
              <w:snapToGrid w:val="0"/>
              <w:spacing w:line="340" w:lineRule="exact"/>
              <w:rPr>
                <w:rFonts w:hint="eastAsia" w:ascii="宋体" w:hAnsi="宋体" w:cs="宋体"/>
                <w:color w:val="000000"/>
                <w:kern w:val="0"/>
                <w:sz w:val="20"/>
                <w:szCs w:val="20"/>
              </w:rPr>
            </w:pPr>
            <w:r>
              <w:rPr>
                <w:rFonts w:hint="eastAsia" w:ascii="宋体" w:hAnsi="宋体"/>
                <w:color w:val="000000"/>
                <w:sz w:val="20"/>
                <w:szCs w:val="20"/>
              </w:rPr>
              <w:t>《中华人民共和国劳动合同法》</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4</w:t>
            </w:r>
          </w:p>
        </w:tc>
        <w:tc>
          <w:tcPr>
            <w:tcW w:w="3483"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直销企业及其分支机构设立和变更审批</w:t>
            </w:r>
          </w:p>
        </w:tc>
        <w:tc>
          <w:tcPr>
            <w:tcW w:w="1920"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jc w:val="center"/>
              <w:rPr>
                <w:rFonts w:hint="eastAsia" w:ascii="宋体" w:hAnsi="宋体" w:cs="仿宋_GB2312"/>
                <w:color w:val="000000"/>
                <w:sz w:val="20"/>
                <w:szCs w:val="20"/>
              </w:rPr>
            </w:pPr>
            <w:r>
              <w:rPr>
                <w:rFonts w:hint="eastAsia" w:ascii="宋体" w:hAnsi="宋体" w:cs="仿宋_GB2312"/>
                <w:color w:val="000000"/>
                <w:sz w:val="20"/>
                <w:szCs w:val="20"/>
              </w:rPr>
              <w:t>商务部</w:t>
            </w:r>
          </w:p>
        </w:tc>
        <w:tc>
          <w:tcPr>
            <w:tcW w:w="3932"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《直销管理条例》（国务院令第443号）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5</w:t>
            </w:r>
          </w:p>
        </w:tc>
        <w:tc>
          <w:tcPr>
            <w:tcW w:w="3483"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对外劳务合作经营资格核准</w:t>
            </w:r>
          </w:p>
        </w:tc>
        <w:tc>
          <w:tcPr>
            <w:tcW w:w="1920"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jc w:val="center"/>
              <w:rPr>
                <w:rFonts w:hint="eastAsia" w:ascii="宋体" w:hAnsi="宋体" w:cs="仿宋_GB2312"/>
                <w:color w:val="000000"/>
                <w:sz w:val="20"/>
                <w:szCs w:val="20"/>
              </w:rPr>
            </w:pPr>
            <w:r>
              <w:rPr>
                <w:rFonts w:hint="eastAsia" w:ascii="宋体" w:hAnsi="宋体" w:cs="仿宋_GB2312"/>
                <w:color w:val="000000"/>
                <w:sz w:val="20"/>
                <w:szCs w:val="20"/>
              </w:rPr>
              <w:t>省级或者设区的市级人民政府商务行政主管部门</w:t>
            </w:r>
          </w:p>
        </w:tc>
        <w:tc>
          <w:tcPr>
            <w:tcW w:w="3932"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《对外劳务合作管理条例》（国务院令第620号）</w:t>
            </w:r>
          </w:p>
        </w:tc>
      </w:tr>
      <w:tr>
        <w:tblPrEx>
          <w:tblLayout w:type="fixed"/>
          <w:tblCellMar>
            <w:top w:w="57" w:type="dxa"/>
            <w:left w:w="113" w:type="dxa"/>
            <w:bottom w:w="57" w:type="dxa"/>
            <w:right w:w="113" w:type="dxa"/>
          </w:tblCellMar>
        </w:tblPrEx>
        <w:trPr>
          <w:cantSplit/>
          <w:trHeight w:val="934" w:hRule="atLeast"/>
          <w:jc w:val="center"/>
        </w:trPr>
        <w:tc>
          <w:tcPr>
            <w:tcW w:w="837" w:type="dxa"/>
            <w:tcBorders>
              <w:top w:val="single" w:color="auto" w:sz="6" w:space="0"/>
              <w:left w:val="single" w:color="auto" w:sz="4"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6</w:t>
            </w:r>
          </w:p>
        </w:tc>
        <w:tc>
          <w:tcPr>
            <w:tcW w:w="3483"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个人征信机构设立分支机构、合并或者分立、变更注册资本、变更出资额审批</w:t>
            </w:r>
          </w:p>
        </w:tc>
        <w:tc>
          <w:tcPr>
            <w:tcW w:w="1920" w:type="dxa"/>
            <w:tcBorders>
              <w:top w:val="single" w:color="auto" w:sz="6" w:space="0"/>
              <w:left w:val="nil"/>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人民银行</w:t>
            </w:r>
          </w:p>
        </w:tc>
        <w:tc>
          <w:tcPr>
            <w:tcW w:w="3932" w:type="dxa"/>
            <w:tcBorders>
              <w:top w:val="single" w:color="auto" w:sz="6" w:space="0"/>
              <w:left w:val="nil"/>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《征信业管理条例》（国务院令第631号）</w:t>
            </w:r>
          </w:p>
        </w:tc>
      </w:tr>
      <w:tr>
        <w:tblPrEx>
          <w:tblLayout w:type="fixed"/>
          <w:tblCellMar>
            <w:top w:w="57" w:type="dxa"/>
            <w:left w:w="113" w:type="dxa"/>
            <w:bottom w:w="57" w:type="dxa"/>
            <w:right w:w="113" w:type="dxa"/>
          </w:tblCellMar>
        </w:tblPrEx>
        <w:trPr>
          <w:cantSplit/>
          <w:trHeight w:val="362"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7</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出版单位变更名称、主办单位或者其主管机关、业务范围、资本结构，合并或者分立，设立分支机构审批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新闻出版广电总局</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《出版管理条例》（国务院令第594号）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8</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出版物进口经营单位变更名称、业务范围、资本结构、主办单位或者其主管机关，合并或者分立，设立分支机构审批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新闻出版广电总局</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《出版管理条例》（国务院令第594号）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9</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印刷业经营者申请兼营或者变更从事出版物印刷经营活动审批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省级人民政府新闻出版广电行政主管部门</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《印刷业管理条例》（国务院令第315号）</w:t>
            </w:r>
          </w:p>
        </w:tc>
      </w:tr>
      <w:tr>
        <w:tblPrEx>
          <w:tblLayout w:type="fixed"/>
          <w:tblCellMar>
            <w:top w:w="57" w:type="dxa"/>
            <w:left w:w="113" w:type="dxa"/>
            <w:bottom w:w="57" w:type="dxa"/>
            <w:right w:w="113" w:type="dxa"/>
          </w:tblCellMar>
        </w:tblPrEx>
        <w:trPr>
          <w:cantSplit/>
          <w:trHeight w:val="31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10</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内资电影制片单位变更、终止审批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省级人民政府新闻出版广电行政主管部门</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《电影管理条例》（国务院令第342号）</w:t>
            </w:r>
          </w:p>
        </w:tc>
      </w:tr>
      <w:tr>
        <w:tblPrEx>
          <w:tblLayout w:type="fixed"/>
          <w:tblCellMar>
            <w:top w:w="57" w:type="dxa"/>
            <w:left w:w="113" w:type="dxa"/>
            <w:bottom w:w="57" w:type="dxa"/>
            <w:right w:w="113" w:type="dxa"/>
          </w:tblCellMar>
        </w:tblPrEx>
        <w:trPr>
          <w:cantSplit/>
          <w:trHeight w:val="815" w:hRule="atLeast"/>
          <w:jc w:val="center"/>
        </w:trPr>
        <w:tc>
          <w:tcPr>
            <w:tcW w:w="837"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11</w:t>
            </w:r>
          </w:p>
        </w:tc>
        <w:tc>
          <w:tcPr>
            <w:tcW w:w="3483" w:type="dxa"/>
            <w:tcBorders>
              <w:top w:val="single" w:color="auto" w:sz="6" w:space="0"/>
              <w:left w:val="nil"/>
              <w:bottom w:val="single" w:color="auto" w:sz="4" w:space="0"/>
              <w:right w:val="single" w:color="auto" w:sz="6" w:space="0"/>
            </w:tcBorders>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中资银行业金融机构及其分支机构变更、终止以及业务范围审批</w:t>
            </w:r>
          </w:p>
        </w:tc>
        <w:tc>
          <w:tcPr>
            <w:tcW w:w="1920" w:type="dxa"/>
            <w:tcBorders>
              <w:top w:val="single" w:color="auto" w:sz="6" w:space="0"/>
              <w:left w:val="nil"/>
              <w:bottom w:val="single" w:color="auto" w:sz="4" w:space="0"/>
              <w:right w:val="single" w:color="auto" w:sz="6" w:space="0"/>
            </w:tcBorders>
            <w:vAlign w:val="center"/>
          </w:tcPr>
          <w:p>
            <w:pPr>
              <w:adjustRightInd w:val="0"/>
              <w:snapToGrid w:val="0"/>
              <w:spacing w:line="340" w:lineRule="exact"/>
              <w:jc w:val="center"/>
              <w:rPr>
                <w:rFonts w:hint="eastAsia" w:ascii="宋体" w:hAnsi="宋体" w:eastAsia="宋体"/>
                <w:sz w:val="20"/>
                <w:szCs w:val="20"/>
              </w:rPr>
            </w:pPr>
            <w:r>
              <w:rPr>
                <w:rFonts w:hint="eastAsia" w:ascii="宋体" w:hAnsi="宋体" w:eastAsia="宋体"/>
                <w:sz w:val="20"/>
                <w:szCs w:val="20"/>
              </w:rPr>
              <w:t>银监会</w:t>
            </w:r>
          </w:p>
        </w:tc>
        <w:tc>
          <w:tcPr>
            <w:tcW w:w="3932" w:type="dxa"/>
            <w:tcBorders>
              <w:top w:val="single" w:color="auto" w:sz="6" w:space="0"/>
              <w:left w:val="nil"/>
              <w:bottom w:val="single" w:color="auto" w:sz="4" w:space="0"/>
              <w:right w:val="single" w:color="auto" w:sz="6" w:space="0"/>
            </w:tcBorders>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《中华人民共和国银行业监督管理法》</w:t>
            </w:r>
          </w:p>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《中华人民共和国商业银行法》</w:t>
            </w:r>
          </w:p>
        </w:tc>
      </w:tr>
      <w:tr>
        <w:tblPrEx>
          <w:tblLayout w:type="fixed"/>
          <w:tblCellMar>
            <w:top w:w="57" w:type="dxa"/>
            <w:left w:w="113" w:type="dxa"/>
            <w:bottom w:w="57" w:type="dxa"/>
            <w:right w:w="113" w:type="dxa"/>
          </w:tblCellMar>
        </w:tblPrEx>
        <w:trPr>
          <w:cantSplit/>
          <w:trHeight w:val="28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12</w:t>
            </w:r>
          </w:p>
        </w:tc>
        <w:tc>
          <w:tcPr>
            <w:tcW w:w="3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非银行金融机构（分支机构）变更、终止以及业务范围审批</w:t>
            </w:r>
          </w:p>
        </w:tc>
        <w:tc>
          <w:tcPr>
            <w:tcW w:w="19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sz w:val="20"/>
                <w:szCs w:val="20"/>
              </w:rPr>
            </w:pPr>
            <w:r>
              <w:rPr>
                <w:rFonts w:hint="eastAsia" w:ascii="宋体" w:hAnsi="宋体" w:eastAsia="宋体"/>
                <w:sz w:val="20"/>
                <w:szCs w:val="20"/>
              </w:rPr>
              <w:t>银监会</w:t>
            </w:r>
          </w:p>
        </w:tc>
        <w:tc>
          <w:tcPr>
            <w:tcW w:w="3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《中华人民共和国银行业监督管理法》</w:t>
            </w:r>
          </w:p>
        </w:tc>
      </w:tr>
      <w:tr>
        <w:tblPrEx>
          <w:tblLayout w:type="fixed"/>
          <w:tblCellMar>
            <w:top w:w="57" w:type="dxa"/>
            <w:left w:w="113" w:type="dxa"/>
            <w:bottom w:w="57" w:type="dxa"/>
            <w:right w:w="113" w:type="dxa"/>
          </w:tblCellMar>
        </w:tblPrEx>
        <w:trPr>
          <w:cantSplit/>
          <w:trHeight w:val="462"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13</w:t>
            </w:r>
          </w:p>
        </w:tc>
        <w:tc>
          <w:tcPr>
            <w:tcW w:w="3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外资银行变更注册资本或者营运资金、变更机构名称、营业场所或者办公场所、调整业务范围、变更股东或者调整股东持股比例、修改章程以及终结审批</w:t>
            </w:r>
          </w:p>
        </w:tc>
        <w:tc>
          <w:tcPr>
            <w:tcW w:w="19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银监会</w:t>
            </w:r>
          </w:p>
        </w:tc>
        <w:tc>
          <w:tcPr>
            <w:tcW w:w="3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《外资银行管理条例》（国务院令第478号）</w:t>
            </w:r>
          </w:p>
        </w:tc>
      </w:tr>
      <w:tr>
        <w:tblPrEx>
          <w:tblLayout w:type="fixed"/>
          <w:tblCellMar>
            <w:top w:w="57" w:type="dxa"/>
            <w:left w:w="113" w:type="dxa"/>
            <w:bottom w:w="57" w:type="dxa"/>
            <w:right w:w="113" w:type="dxa"/>
          </w:tblCellMar>
        </w:tblPrEx>
        <w:trPr>
          <w:cantSplit/>
          <w:trHeight w:val="462" w:hRule="atLeast"/>
          <w:jc w:val="center"/>
        </w:trPr>
        <w:tc>
          <w:tcPr>
            <w:tcW w:w="837"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14</w:t>
            </w:r>
          </w:p>
        </w:tc>
        <w:tc>
          <w:tcPr>
            <w:tcW w:w="3483" w:type="dxa"/>
            <w:tcBorders>
              <w:top w:val="single" w:color="auto" w:sz="4"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sz w:val="20"/>
                <w:szCs w:val="20"/>
              </w:rPr>
              <w:t>外国银行代表处变更及终止审批</w:t>
            </w:r>
          </w:p>
        </w:tc>
        <w:tc>
          <w:tcPr>
            <w:tcW w:w="1920" w:type="dxa"/>
            <w:tcBorders>
              <w:top w:val="single" w:color="auto" w:sz="4"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银监会</w:t>
            </w:r>
          </w:p>
        </w:tc>
        <w:tc>
          <w:tcPr>
            <w:tcW w:w="3932" w:type="dxa"/>
            <w:tcBorders>
              <w:top w:val="single" w:color="auto" w:sz="4"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《外资银行管理条例》（国务院令第478号）</w:t>
            </w:r>
          </w:p>
        </w:tc>
      </w:tr>
      <w:tr>
        <w:tblPrEx>
          <w:tblLayout w:type="fixed"/>
          <w:tblCellMar>
            <w:top w:w="57" w:type="dxa"/>
            <w:left w:w="113" w:type="dxa"/>
            <w:bottom w:w="57" w:type="dxa"/>
            <w:right w:w="113" w:type="dxa"/>
          </w:tblCellMar>
        </w:tblPrEx>
        <w:trPr>
          <w:cantSplit/>
          <w:trHeight w:val="462" w:hRule="atLeast"/>
          <w:jc w:val="center"/>
        </w:trPr>
        <w:tc>
          <w:tcPr>
            <w:tcW w:w="837" w:type="dxa"/>
            <w:tcBorders>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15</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融资性担保机构变更审批</w:t>
            </w:r>
          </w:p>
        </w:tc>
        <w:tc>
          <w:tcPr>
            <w:tcW w:w="1920" w:type="dxa"/>
            <w:tcBorders>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省级人民政府确定的部门</w:t>
            </w:r>
          </w:p>
        </w:tc>
        <w:tc>
          <w:tcPr>
            <w:tcW w:w="3932" w:type="dxa"/>
            <w:tcBorders>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《国务院对确需保留的行政审批项目设定行政许可的决定》（国务院令第548号）</w:t>
            </w:r>
          </w:p>
        </w:tc>
      </w:tr>
      <w:tr>
        <w:tblPrEx>
          <w:tblLayout w:type="fixed"/>
          <w:tblCellMar>
            <w:top w:w="57" w:type="dxa"/>
            <w:left w:w="113" w:type="dxa"/>
            <w:bottom w:w="57" w:type="dxa"/>
            <w:right w:w="113" w:type="dxa"/>
          </w:tblCellMar>
        </w:tblPrEx>
        <w:trPr>
          <w:cantSplit/>
          <w:trHeight w:val="67"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16</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证券登记结算机构解散审批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证监会</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s="宋体"/>
                <w:kern w:val="0"/>
                <w:sz w:val="20"/>
                <w:szCs w:val="20"/>
              </w:rPr>
              <w:t>中华人民共和国</w:t>
            </w:r>
            <w:r>
              <w:rPr>
                <w:rFonts w:hint="eastAsia" w:ascii="宋体" w:hAnsi="宋体" w:eastAsia="宋体"/>
                <w:color w:val="000000"/>
                <w:sz w:val="20"/>
                <w:szCs w:val="20"/>
              </w:rPr>
              <w:t>证券法》</w:t>
            </w:r>
          </w:p>
        </w:tc>
      </w:tr>
      <w:tr>
        <w:tblPrEx>
          <w:tblLayout w:type="fixed"/>
          <w:tblCellMar>
            <w:top w:w="57" w:type="dxa"/>
            <w:left w:w="113" w:type="dxa"/>
            <w:bottom w:w="57" w:type="dxa"/>
            <w:right w:w="113" w:type="dxa"/>
          </w:tblCellMar>
        </w:tblPrEx>
        <w:trPr>
          <w:cantSplit/>
          <w:trHeight w:val="67"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17</w:t>
            </w:r>
          </w:p>
        </w:tc>
        <w:tc>
          <w:tcPr>
            <w:tcW w:w="3483" w:type="dxa"/>
            <w:tcBorders>
              <w:top w:val="single" w:color="auto" w:sz="6" w:space="0"/>
              <w:left w:val="nil"/>
              <w:bottom w:val="single" w:color="auto" w:sz="6" w:space="0"/>
              <w:right w:val="single" w:color="auto" w:sz="6" w:space="0"/>
            </w:tcBorders>
            <w:vAlign w:val="center"/>
          </w:tcPr>
          <w:p>
            <w:pPr>
              <w:pStyle w:val="2"/>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证券公司为客户买卖证券提供融资融券服务审批</w:t>
            </w:r>
          </w:p>
        </w:tc>
        <w:tc>
          <w:tcPr>
            <w:tcW w:w="1920" w:type="dxa"/>
            <w:tcBorders>
              <w:top w:val="single" w:color="auto" w:sz="6" w:space="0"/>
              <w:left w:val="nil"/>
              <w:bottom w:val="single" w:color="auto" w:sz="6" w:space="0"/>
              <w:right w:val="single" w:color="auto" w:sz="6" w:space="0"/>
            </w:tcBorders>
            <w:vAlign w:val="center"/>
          </w:tcPr>
          <w:p>
            <w:pPr>
              <w:pStyle w:val="2"/>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tcBorders>
              <w:top w:val="single" w:color="auto" w:sz="6" w:space="0"/>
              <w:left w:val="nil"/>
              <w:bottom w:val="single" w:color="auto" w:sz="6" w:space="0"/>
              <w:right w:val="single" w:color="auto" w:sz="6" w:space="0"/>
            </w:tcBorders>
            <w:vAlign w:val="center"/>
          </w:tcPr>
          <w:p>
            <w:pPr>
              <w:pStyle w:val="2"/>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w:t>
            </w:r>
            <w:r>
              <w:rPr>
                <w:rFonts w:hint="eastAsia" w:ascii="宋体" w:hAnsi="宋体" w:cs="宋体"/>
                <w:kern w:val="0"/>
                <w:sz w:val="20"/>
                <w:szCs w:val="20"/>
              </w:rPr>
              <w:t>中华人民共和国</w:t>
            </w:r>
            <w:r>
              <w:rPr>
                <w:rFonts w:hint="eastAsia" w:ascii="宋体" w:hAnsi="宋体"/>
                <w:color w:val="000000"/>
                <w:sz w:val="20"/>
                <w:szCs w:val="20"/>
              </w:rPr>
              <w:t>证券法》</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18</w:t>
            </w:r>
          </w:p>
        </w:tc>
        <w:tc>
          <w:tcPr>
            <w:tcW w:w="3483"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olor w:val="000000"/>
                <w:sz w:val="20"/>
                <w:szCs w:val="20"/>
              </w:rPr>
            </w:pPr>
            <w:r>
              <w:rPr>
                <w:rFonts w:ascii="宋体" w:hAnsi="宋体"/>
                <w:color w:val="000000"/>
                <w:sz w:val="20"/>
                <w:szCs w:val="20"/>
              </w:rPr>
              <w:t>证券公司</w:t>
            </w:r>
            <w:r>
              <w:rPr>
                <w:rFonts w:hint="eastAsia" w:ascii="宋体" w:hAnsi="宋体"/>
                <w:color w:val="000000"/>
                <w:sz w:val="20"/>
                <w:szCs w:val="20"/>
              </w:rPr>
              <w:t>设立、</w:t>
            </w:r>
            <w:r>
              <w:rPr>
                <w:rFonts w:ascii="宋体" w:hAnsi="宋体"/>
                <w:color w:val="000000"/>
                <w:sz w:val="20"/>
                <w:szCs w:val="20"/>
              </w:rPr>
              <w:t>收购或者撤销分支机构</w:t>
            </w:r>
            <w:r>
              <w:rPr>
                <w:rFonts w:hint="eastAsia" w:ascii="宋体" w:hAnsi="宋体"/>
                <w:color w:val="000000"/>
                <w:sz w:val="20"/>
                <w:szCs w:val="20"/>
              </w:rPr>
              <w:t>，</w:t>
            </w:r>
            <w:r>
              <w:rPr>
                <w:rFonts w:ascii="宋体" w:hAnsi="宋体"/>
                <w:color w:val="000000"/>
                <w:sz w:val="20"/>
                <w:szCs w:val="20"/>
              </w:rPr>
              <w:t>变更业务范围</w:t>
            </w:r>
            <w:r>
              <w:rPr>
                <w:rFonts w:hint="eastAsia" w:ascii="宋体" w:hAnsi="宋体"/>
                <w:color w:val="000000"/>
                <w:sz w:val="20"/>
                <w:szCs w:val="20"/>
              </w:rPr>
              <w:t>，</w:t>
            </w:r>
            <w:r>
              <w:rPr>
                <w:rFonts w:ascii="宋体" w:hAnsi="宋体"/>
                <w:color w:val="000000"/>
                <w:sz w:val="20"/>
                <w:szCs w:val="20"/>
              </w:rPr>
              <w:t>增加注册资本且股权结构发生重大调整，减少注册资本，变更持有百分之五以上股权的股东，变更公司章程中的重要条款，合并、分立、解散、破产</w:t>
            </w:r>
            <w:r>
              <w:rPr>
                <w:rFonts w:hint="eastAsia" w:ascii="宋体" w:hAnsi="宋体"/>
                <w:color w:val="000000"/>
                <w:sz w:val="20"/>
                <w:szCs w:val="20"/>
              </w:rPr>
              <w:t>审批</w:t>
            </w:r>
          </w:p>
        </w:tc>
        <w:tc>
          <w:tcPr>
            <w:tcW w:w="1920"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s="宋体"/>
                <w:kern w:val="0"/>
                <w:sz w:val="20"/>
                <w:szCs w:val="20"/>
              </w:rPr>
              <w:t>中华人民共和国</w:t>
            </w:r>
            <w:r>
              <w:rPr>
                <w:rFonts w:hint="eastAsia" w:ascii="宋体" w:hAnsi="宋体" w:eastAsia="宋体"/>
                <w:color w:val="000000"/>
                <w:sz w:val="20"/>
                <w:szCs w:val="20"/>
              </w:rPr>
              <w:t>证券法》</w:t>
            </w:r>
            <w:bookmarkStart w:id="0" w:name="up"/>
            <w:bookmarkEnd w:id="0"/>
            <w:r>
              <w:rPr>
                <w:rFonts w:ascii="宋体" w:hAnsi="宋体" w:eastAsia="宋体"/>
                <w:color w:val="000000"/>
                <w:sz w:val="20"/>
                <w:szCs w:val="20"/>
              </w:rPr>
              <w:t>　</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《证券公司监督管理条例》（国务院令第522号)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19</w:t>
            </w:r>
          </w:p>
        </w:tc>
        <w:tc>
          <w:tcPr>
            <w:tcW w:w="3483"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rPr>
            </w:pPr>
            <w:r>
              <w:rPr>
                <w:rFonts w:hint="eastAsia" w:ascii="宋体" w:hAnsi="宋体"/>
                <w:color w:val="000000"/>
                <w:sz w:val="20"/>
                <w:szCs w:val="20"/>
              </w:rPr>
              <w:t>证券金融公司解散审批</w:t>
            </w:r>
          </w:p>
        </w:tc>
        <w:tc>
          <w:tcPr>
            <w:tcW w:w="1920"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国务院</w:t>
            </w:r>
          </w:p>
        </w:tc>
        <w:tc>
          <w:tcPr>
            <w:tcW w:w="3932" w:type="dxa"/>
            <w:tcBorders>
              <w:top w:val="single" w:color="auto" w:sz="6" w:space="0"/>
              <w:left w:val="nil"/>
              <w:bottom w:val="single" w:color="auto" w:sz="6" w:space="0"/>
              <w:right w:val="single" w:color="auto" w:sz="6" w:space="0"/>
            </w:tcBorders>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 xml:space="preserve">《证券公司监督管理条例》（国务院令第522号) </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20</w:t>
            </w:r>
          </w:p>
        </w:tc>
        <w:tc>
          <w:tcPr>
            <w:tcW w:w="3483"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期货公司境内及境外期货经纪业务、期货投资咨询业务许可</w:t>
            </w:r>
          </w:p>
        </w:tc>
        <w:tc>
          <w:tcPr>
            <w:tcW w:w="1920"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tcBorders>
              <w:top w:val="single" w:color="auto" w:sz="6" w:space="0"/>
              <w:left w:val="nil"/>
              <w:bottom w:val="single" w:color="auto" w:sz="6" w:space="0"/>
              <w:right w:val="single" w:color="auto" w:sz="6" w:space="0"/>
            </w:tcBorders>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《期货交易管理条例》（国务院令第627）</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黑体"/>
                <w:color w:val="000000"/>
                <w:sz w:val="20"/>
                <w:szCs w:val="20"/>
              </w:rPr>
            </w:pPr>
            <w:r>
              <w:rPr>
                <w:rFonts w:hint="eastAsia" w:ascii="宋体" w:hAnsi="宋体" w:eastAsia="宋体" w:cs="黑体"/>
                <w:color w:val="000000"/>
                <w:sz w:val="20"/>
                <w:szCs w:val="20"/>
              </w:rPr>
              <w:t>21</w:t>
            </w:r>
          </w:p>
        </w:tc>
        <w:tc>
          <w:tcPr>
            <w:tcW w:w="3483"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期货公司合并、分立、解散或者破产、变更业务范围、变更注册资本且调整股权结构、新增持有5%以上股权的股东或者控股股东发生变化审批</w:t>
            </w:r>
          </w:p>
        </w:tc>
        <w:tc>
          <w:tcPr>
            <w:tcW w:w="1920"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tcBorders>
              <w:top w:val="single" w:color="auto" w:sz="6" w:space="0"/>
              <w:left w:val="nil"/>
              <w:bottom w:val="single" w:color="auto" w:sz="6" w:space="0"/>
              <w:right w:val="single" w:color="auto" w:sz="6" w:space="0"/>
            </w:tcBorders>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《期货交易管理条例》（国务院令第627）</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22</w:t>
            </w:r>
          </w:p>
        </w:tc>
        <w:tc>
          <w:tcPr>
            <w:tcW w:w="3483" w:type="dxa"/>
            <w:tcBorders>
              <w:top w:val="single" w:color="auto" w:sz="6" w:space="0"/>
              <w:left w:val="nil"/>
              <w:bottom w:val="single" w:color="auto" w:sz="6" w:space="0"/>
              <w:right w:val="single" w:color="auto" w:sz="6" w:space="0"/>
            </w:tcBorders>
            <w:vAlign w:val="center"/>
          </w:tcPr>
          <w:p>
            <w:pPr>
              <w:spacing w:line="340" w:lineRule="exact"/>
              <w:rPr>
                <w:rFonts w:hint="eastAsia" w:ascii="宋体" w:hAnsi="宋体" w:eastAsia="宋体" w:cs="仿宋_GB2312"/>
                <w:color w:val="000000"/>
                <w:sz w:val="20"/>
                <w:szCs w:val="20"/>
              </w:rPr>
            </w:pPr>
            <w:r>
              <w:rPr>
                <w:rFonts w:hint="eastAsia" w:ascii="宋体" w:hAnsi="宋体" w:eastAsia="宋体"/>
                <w:color w:val="000000"/>
                <w:sz w:val="20"/>
                <w:szCs w:val="20"/>
              </w:rPr>
              <w:t>外国证券类机构驻华代表机构名称变更核准</w:t>
            </w:r>
          </w:p>
        </w:tc>
        <w:tc>
          <w:tcPr>
            <w:tcW w:w="1920" w:type="dxa"/>
            <w:tcBorders>
              <w:top w:val="single" w:color="auto" w:sz="6" w:space="0"/>
              <w:left w:val="nil"/>
              <w:bottom w:val="single" w:color="auto" w:sz="6" w:space="0"/>
              <w:right w:val="single" w:color="auto" w:sz="6" w:space="0"/>
            </w:tcBorders>
            <w:vAlign w:val="center"/>
          </w:tcPr>
          <w:p>
            <w:pPr>
              <w:spacing w:line="340" w:lineRule="exact"/>
              <w:jc w:val="center"/>
              <w:rPr>
                <w:rFonts w:hint="eastAsia" w:ascii="宋体" w:hAnsi="宋体" w:eastAsia="宋体" w:cs="仿宋_GB2312"/>
                <w:color w:val="000000"/>
                <w:sz w:val="20"/>
                <w:szCs w:val="20"/>
              </w:rPr>
            </w:pPr>
            <w:r>
              <w:rPr>
                <w:rFonts w:hint="eastAsia" w:ascii="宋体" w:hAnsi="宋体" w:eastAsia="宋体"/>
                <w:color w:val="000000"/>
                <w:sz w:val="20"/>
                <w:szCs w:val="20"/>
              </w:rPr>
              <w:t>证监会</w:t>
            </w:r>
          </w:p>
        </w:tc>
        <w:tc>
          <w:tcPr>
            <w:tcW w:w="3932" w:type="dxa"/>
            <w:tcBorders>
              <w:top w:val="single" w:color="auto" w:sz="6" w:space="0"/>
              <w:left w:val="nil"/>
              <w:bottom w:val="single" w:color="auto" w:sz="6" w:space="0"/>
              <w:right w:val="single" w:color="auto" w:sz="6" w:space="0"/>
            </w:tcBorders>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p>
            <w:pPr>
              <w:spacing w:line="340" w:lineRule="exact"/>
              <w:rPr>
                <w:rFonts w:hint="eastAsia" w:ascii="宋体" w:hAnsi="宋体" w:eastAsia="宋体" w:cs="仿宋_GB2312"/>
                <w:color w:val="000000"/>
                <w:sz w:val="20"/>
                <w:szCs w:val="20"/>
              </w:rPr>
            </w:pPr>
            <w:r>
              <w:rPr>
                <w:rFonts w:hint="eastAsia" w:ascii="宋体" w:hAnsi="宋体" w:eastAsia="宋体"/>
                <w:color w:val="000000"/>
                <w:sz w:val="20"/>
                <w:szCs w:val="20"/>
              </w:rPr>
              <w:t>《国务院关于管理外国企业常驻代表机构的暂行规定》（国发〔1980〕272号）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23</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宋体"/>
                <w:color w:val="000000"/>
                <w:kern w:val="0"/>
                <w:sz w:val="20"/>
                <w:szCs w:val="20"/>
              </w:rPr>
              <w:t>使用“交易所”字样的交易场所审批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国务院或国务院金融管理部门、省级人民政府</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《国务院关于清理整顿各类交易场所切实防范金融风险的决定》（国发〔2011〕38号）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24</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宋体"/>
                <w:color w:val="000000"/>
                <w:kern w:val="0"/>
                <w:sz w:val="20"/>
                <w:szCs w:val="20"/>
              </w:rPr>
              <w:t>从事保险、信贷、黄金等金融产品交易的交易场所审批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国务院相关金融管理部门</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《国务院关于清理整顿各类交易场所切实防范金融风险的决定》（国发〔2011〕38号）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25</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s="宋体"/>
                <w:kern w:val="0"/>
                <w:sz w:val="20"/>
                <w:szCs w:val="20"/>
              </w:rPr>
              <w:t>中华人民共和国</w:t>
            </w:r>
            <w:r>
              <w:rPr>
                <w:rFonts w:hint="eastAsia" w:ascii="宋体" w:hAnsi="宋体" w:eastAsia="宋体"/>
                <w:color w:val="000000"/>
                <w:sz w:val="20"/>
                <w:szCs w:val="20"/>
              </w:rPr>
              <w:t>保险法》</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26</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专属自保组织和相互保险组织合并、分立、变更、解散审批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color w:val="000000"/>
                <w:sz w:val="20"/>
                <w:szCs w:val="20"/>
              </w:rPr>
              <w:t>《国务院对确需保留的行政审批项目设定行政许可的决定》（国务院令第412号）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27</w:t>
            </w:r>
          </w:p>
        </w:tc>
        <w:tc>
          <w:tcPr>
            <w:tcW w:w="3483"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保险资产管理公司重大事项变更审批。保险资产管理公司及其分支机构终止（解散、破产和分支机构撤销）审批</w:t>
            </w:r>
          </w:p>
        </w:tc>
        <w:tc>
          <w:tcPr>
            <w:tcW w:w="1920"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保监会</w:t>
            </w:r>
          </w:p>
          <w:p>
            <w:pPr>
              <w:pStyle w:val="8"/>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（会同证监会）</w:t>
            </w:r>
          </w:p>
        </w:tc>
        <w:tc>
          <w:tcPr>
            <w:tcW w:w="3932" w:type="dxa"/>
            <w:tcBorders>
              <w:top w:val="single" w:color="auto" w:sz="6" w:space="0"/>
              <w:left w:val="nil"/>
              <w:bottom w:val="single" w:color="auto" w:sz="6" w:space="0"/>
              <w:right w:val="single" w:color="auto" w:sz="6" w:space="0"/>
            </w:tcBorders>
            <w:vAlign w:val="center"/>
          </w:tcPr>
          <w:p>
            <w:pPr>
              <w:pStyle w:val="8"/>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《国务院对确需保留的行政审批项目设定行政许可的决定》（国务院令第412号）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28</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保险集团公司及保险控股公司合并、分立、变更、解散审批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tc>
      </w:tr>
      <w:tr>
        <w:tblPrEx>
          <w:tblLayout w:type="fixed"/>
          <w:tblCellMar>
            <w:top w:w="57" w:type="dxa"/>
            <w:left w:w="113" w:type="dxa"/>
            <w:bottom w:w="57" w:type="dxa"/>
            <w:right w:w="113" w:type="dxa"/>
          </w:tblCellMar>
        </w:tblPrEx>
        <w:trPr>
          <w:cantSplit/>
          <w:trHeight w:val="589" w:hRule="atLeast"/>
          <w:jc w:val="center"/>
        </w:trPr>
        <w:tc>
          <w:tcPr>
            <w:tcW w:w="8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29</w:t>
            </w:r>
          </w:p>
        </w:tc>
        <w:tc>
          <w:tcPr>
            <w:tcW w:w="3483"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外国保险机构驻华代表机构重大事项变更审批</w:t>
            </w:r>
          </w:p>
        </w:tc>
        <w:tc>
          <w:tcPr>
            <w:tcW w:w="1920"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tcBorders>
              <w:top w:val="single" w:color="auto" w:sz="6" w:space="0"/>
              <w:left w:val="nil"/>
              <w:bottom w:val="single" w:color="auto" w:sz="6" w:space="0"/>
              <w:right w:val="single" w:color="auto" w:sz="6"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《国务院关于发布〈中华人民共和国国务院关于管理外国企业常驻代表机构的暂行规定〉的通知》（国发〔1980〕272号）</w:t>
            </w:r>
          </w:p>
        </w:tc>
      </w:tr>
      <w:tr>
        <w:tblPrEx>
          <w:tblLayout w:type="fixed"/>
          <w:tblCellMar>
            <w:top w:w="57" w:type="dxa"/>
            <w:left w:w="113" w:type="dxa"/>
            <w:bottom w:w="57" w:type="dxa"/>
            <w:right w:w="113" w:type="dxa"/>
          </w:tblCellMar>
        </w:tblPrEx>
        <w:trPr>
          <w:cantSplit/>
          <w:trHeight w:val="935"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30</w:t>
            </w:r>
          </w:p>
        </w:tc>
        <w:tc>
          <w:tcPr>
            <w:tcW w:w="3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仿宋_GB2312"/>
                <w:sz w:val="20"/>
                <w:szCs w:val="20"/>
              </w:rPr>
              <w:t>烟草制品生产企业分立、合并、撤销的审批</w:t>
            </w:r>
          </w:p>
        </w:tc>
        <w:tc>
          <w:tcPr>
            <w:tcW w:w="19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国家烟草专卖局</w:t>
            </w:r>
          </w:p>
        </w:tc>
        <w:tc>
          <w:tcPr>
            <w:tcW w:w="3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《中华人民共和国烟草专卖法》</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《烟草专卖法实施条例》（国务院令第223号）</w:t>
            </w:r>
          </w:p>
        </w:tc>
      </w:tr>
      <w:tr>
        <w:tblPrEx>
          <w:tblLayout w:type="fixed"/>
          <w:tblCellMar>
            <w:top w:w="57" w:type="dxa"/>
            <w:left w:w="113" w:type="dxa"/>
            <w:bottom w:w="57" w:type="dxa"/>
            <w:right w:w="113" w:type="dxa"/>
          </w:tblCellMar>
        </w:tblPrEx>
        <w:trPr>
          <w:cantSplit/>
          <w:trHeight w:val="935" w:hRule="atLeast"/>
          <w:jc w:val="center"/>
        </w:trPr>
        <w:tc>
          <w:tcPr>
            <w:tcW w:w="10172" w:type="dxa"/>
            <w:gridSpan w:val="4"/>
            <w:tcBorders>
              <w:top w:val="single" w:color="auto" w:sz="4" w:space="0"/>
              <w:left w:val="single" w:color="auto" w:sz="4" w:space="0"/>
              <w:bottom w:val="single" w:color="auto" w:sz="4" w:space="0"/>
              <w:right w:val="single" w:color="auto" w:sz="4" w:space="0"/>
            </w:tcBorders>
            <w:vAlign w:val="center"/>
          </w:tcPr>
          <w:p>
            <w:pPr>
              <w:ind w:left="-3" w:leftChars="-1" w:firstLine="227" w:firstLineChars="103"/>
              <w:rPr>
                <w:rFonts w:hint="eastAsia" w:ascii="宋体" w:hAnsi="宋体" w:eastAsia="宋体"/>
                <w:color w:val="000000"/>
                <w:sz w:val="22"/>
                <w:szCs w:val="20"/>
              </w:rPr>
            </w:pPr>
            <w:r>
              <w:rPr>
                <w:rFonts w:hint="eastAsia" w:ascii="宋体" w:hAnsi="宋体" w:eastAsia="宋体"/>
                <w:color w:val="000000"/>
                <w:sz w:val="22"/>
                <w:szCs w:val="20"/>
              </w:rPr>
              <w:t>注：以上前置审批事项，涉及工商登记事项的，凭审批文件办理变更、注销登记。</w:t>
            </w:r>
          </w:p>
        </w:tc>
      </w:tr>
    </w:tbl>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222DA"/>
    <w:rsid w:val="0F59592A"/>
    <w:rsid w:val="3CB222DA"/>
    <w:rsid w:val="6551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rFonts w:ascii="Times New Roman" w:hAnsi="Times New Roman" w:eastAsia="宋体"/>
      <w:sz w:val="18"/>
      <w:szCs w:val="18"/>
    </w:rPr>
  </w:style>
  <w:style w:type="paragraph" w:styleId="3">
    <w:name w:val="footer"/>
    <w:basedOn w:val="1"/>
    <w:uiPriority w:val="0"/>
    <w:pPr>
      <w:tabs>
        <w:tab w:val="center" w:pos="4153"/>
        <w:tab w:val="right" w:pos="8306"/>
      </w:tabs>
      <w:snapToGrid w:val="0"/>
      <w:jc w:val="left"/>
    </w:pPr>
    <w:rPr>
      <w:rFonts w:ascii="Times New Roman" w:hAnsi="Times New Roman" w:eastAsia="宋体"/>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正文 New"/>
    <w:basedOn w:val="1"/>
    <w:uiPriority w:val="0"/>
    <w:pPr>
      <w:spacing w:line="240" w:lineRule="atLeast"/>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2017-06-01T06:15:00Z</dcterms:created>
  <dc:creator>lenovo-pc1</dc:creator>
  <cp:lastModifiedBy>lenovo-pc1</cp:lastModifiedBy>
  <dcterms:modified xsi:type="dcterms:W3CDTF">2017-06-02T07:46:06Z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